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16</w:t>
      </w:r>
    </w:p>
    <w:p w:rsidR="00000000" w:rsidDel="00000000" w:rsidP="00000000" w:rsidRDefault="00000000" w:rsidRPr="00000000">
      <w:pPr>
        <w:contextualSpacing w:val="0"/>
        <w:jc w:val="center"/>
        <w:rPr/>
      </w:pPr>
      <w:r w:rsidDel="00000000" w:rsidR="00000000" w:rsidRPr="00000000">
        <w:rPr>
          <w:b w:val="1"/>
          <w:u w:val="single"/>
          <w:rtl w:val="0"/>
        </w:rPr>
        <w:t xml:space="preserve">Introduction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Engage with the student.</w:t>
      </w:r>
      <w:r w:rsidDel="00000000" w:rsidR="00000000" w:rsidRPr="00000000">
        <w:rPr>
          <w:b w:val="1"/>
          <w:rtl w:val="0"/>
        </w:rPr>
        <w:t xml:space="preserve"> Ask:</w:t>
      </w:r>
      <w:r w:rsidDel="00000000" w:rsidR="00000000" w:rsidRPr="00000000">
        <w:rPr>
          <w:rtl w:val="0"/>
        </w:rPr>
        <w:t xml:space="preserve"> “How is your day going?” “What’s your favorite movie?” “Can you tell me about it?</w:t>
      </w:r>
    </w:p>
    <w:p w:rsidR="00000000" w:rsidDel="00000000" w:rsidP="00000000" w:rsidRDefault="00000000" w:rsidRPr="00000000">
      <w:pPr>
        <w:contextualSpacing w:val="0"/>
        <w:jc w:val="center"/>
        <w:rPr/>
      </w:pPr>
      <w:r w:rsidDel="00000000" w:rsidR="00000000" w:rsidRPr="00000000">
        <w:rPr>
          <w:b w:val="1"/>
          <w:u w:val="single"/>
          <w:rtl w:val="0"/>
        </w:rPr>
        <w:t xml:space="preserve">Warm Up</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Identifying the short “u” and long “u” sound</w:t>
      </w:r>
    </w:p>
    <w:p w:rsidR="00000000" w:rsidDel="00000000" w:rsidP="00000000" w:rsidRDefault="00000000" w:rsidRPr="00000000">
      <w:pPr>
        <w:contextualSpacing w:val="0"/>
        <w:rPr/>
      </w:pPr>
      <w:r w:rsidDel="00000000" w:rsidR="00000000" w:rsidRPr="00000000">
        <w:rPr>
          <w:rtl w:val="0"/>
        </w:rPr>
        <w:t xml:space="preserve">A few notes for this lesson.</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If you see a letter written this way  /u/ it means to say the </w:t>
      </w:r>
      <w:r w:rsidDel="00000000" w:rsidR="00000000" w:rsidRPr="00000000">
        <w:rPr>
          <w:sz w:val="20"/>
          <w:szCs w:val="20"/>
          <w:u w:val="single"/>
          <w:rtl w:val="0"/>
        </w:rPr>
        <w:t xml:space="preserve">sound</w:t>
      </w:r>
      <w:r w:rsidDel="00000000" w:rsidR="00000000" w:rsidRPr="00000000">
        <w:rPr>
          <w:sz w:val="20"/>
          <w:szCs w:val="20"/>
          <w:rtl w:val="0"/>
        </w:rPr>
        <w:t xml:space="preserve"> of the letter</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/ŭ/ means the short u </w:t>
      </w:r>
      <w:r w:rsidDel="00000000" w:rsidR="00000000" w:rsidRPr="00000000">
        <w:rPr>
          <w:sz w:val="20"/>
          <w:szCs w:val="20"/>
          <w:u w:val="single"/>
          <w:rtl w:val="0"/>
        </w:rPr>
        <w:t xml:space="preserve">sound </w:t>
      </w:r>
      <w:r w:rsidDel="00000000" w:rsidR="00000000" w:rsidRPr="00000000">
        <w:rPr>
          <w:sz w:val="20"/>
          <w:szCs w:val="20"/>
          <w:rtl w:val="0"/>
        </w:rPr>
        <w:t xml:space="preserve">as in </w:t>
      </w:r>
      <w:r w:rsidDel="00000000" w:rsidR="00000000" w:rsidRPr="00000000">
        <w:rPr>
          <w:b w:val="1"/>
          <w:sz w:val="20"/>
          <w:szCs w:val="20"/>
          <w:rtl w:val="0"/>
        </w:rPr>
        <w:t xml:space="preserve">u</w:t>
      </w:r>
      <w:r w:rsidDel="00000000" w:rsidR="00000000" w:rsidRPr="00000000">
        <w:rPr>
          <w:sz w:val="20"/>
          <w:szCs w:val="20"/>
          <w:rtl w:val="0"/>
        </w:rPr>
        <w:t xml:space="preserve">mbrella</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/ū/ means the long u </w:t>
      </w:r>
      <w:r w:rsidDel="00000000" w:rsidR="00000000" w:rsidRPr="00000000">
        <w:rPr>
          <w:sz w:val="20"/>
          <w:szCs w:val="20"/>
          <w:u w:val="single"/>
          <w:rtl w:val="0"/>
        </w:rPr>
        <w:t xml:space="preserve">sound</w:t>
      </w:r>
      <w:r w:rsidDel="00000000" w:rsidR="00000000" w:rsidRPr="00000000">
        <w:rPr>
          <w:sz w:val="20"/>
          <w:szCs w:val="20"/>
          <w:rtl w:val="0"/>
        </w:rPr>
        <w:t xml:space="preserve"> as in </w:t>
      </w:r>
      <w:r w:rsidDel="00000000" w:rsidR="00000000" w:rsidRPr="00000000">
        <w:rPr>
          <w:b w:val="1"/>
          <w:sz w:val="20"/>
          <w:szCs w:val="20"/>
          <w:rtl w:val="0"/>
        </w:rPr>
        <w:t xml:space="preserve">u</w:t>
      </w:r>
      <w:r w:rsidDel="00000000" w:rsidR="00000000" w:rsidRPr="00000000">
        <w:rPr>
          <w:sz w:val="20"/>
          <w:szCs w:val="20"/>
          <w:rtl w:val="0"/>
        </w:rPr>
        <w:t xml:space="preserve">nited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I am going to read some words aloud. I would like for you to listen for the short u sound (sound you hear at the beginning of the word </w:t>
      </w:r>
      <w:r w:rsidDel="00000000" w:rsidR="00000000" w:rsidRPr="00000000">
        <w:rPr>
          <w:b w:val="1"/>
          <w:rtl w:val="0"/>
        </w:rPr>
        <w:t xml:space="preserve">u</w:t>
      </w:r>
      <w:r w:rsidDel="00000000" w:rsidR="00000000" w:rsidRPr="00000000">
        <w:rPr>
          <w:rtl w:val="0"/>
        </w:rPr>
        <w:t xml:space="preserve">mbrella)</w:t>
      </w:r>
      <w:r w:rsidDel="00000000" w:rsidR="00000000" w:rsidRPr="00000000">
        <w:rPr>
          <w:rtl w:val="0"/>
        </w:rPr>
        <w:t xml:space="preserve"> and the long u sound (sound you hear at the beginning of the word </w:t>
      </w:r>
      <w:r w:rsidDel="00000000" w:rsidR="00000000" w:rsidRPr="00000000">
        <w:rPr>
          <w:b w:val="1"/>
          <w:rtl w:val="0"/>
        </w:rPr>
        <w:t xml:space="preserve">u</w:t>
      </w:r>
      <w:r w:rsidDel="00000000" w:rsidR="00000000" w:rsidRPr="00000000">
        <w:rPr>
          <w:rtl w:val="0"/>
        </w:rPr>
        <w:t xml:space="preserve">nited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You are going to point to the long u and say </w:t>
      </w:r>
      <w:r w:rsidDel="00000000" w:rsidR="00000000" w:rsidRPr="00000000">
        <w:rPr>
          <w:rtl w:val="0"/>
        </w:rPr>
        <w:t xml:space="preserve">/ū/</w:t>
      </w:r>
      <w:r w:rsidDel="00000000" w:rsidR="00000000" w:rsidRPr="00000000">
        <w:rPr>
          <w:rtl w:val="0"/>
        </w:rPr>
        <w:t xml:space="preserve"> or point to the short u and say </w:t>
      </w:r>
      <w:r w:rsidDel="00000000" w:rsidR="00000000" w:rsidRPr="00000000">
        <w:rPr>
          <w:rtl w:val="0"/>
        </w:rPr>
        <w:t xml:space="preserve">/ŭ/</w:t>
      </w:r>
      <w:r w:rsidDel="00000000" w:rsidR="00000000" w:rsidRPr="00000000">
        <w:rPr>
          <w:rtl w:val="0"/>
        </w:rPr>
        <w:t xml:space="preserve">. (see attached document)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under - /ŭ/</w:t>
        <w:tab/>
        <w:tab/>
        <w:t xml:space="preserve">tub - /ŭ/</w:t>
        <w:tab/>
        <w:tab/>
        <w:t xml:space="preserve">up - /ŭ/</w:t>
        <w:tab/>
        <w:tab/>
        <w:tab/>
        <w:t xml:space="preserve">unite - </w:t>
      </w:r>
      <w:r w:rsidDel="00000000" w:rsidR="00000000" w:rsidRPr="00000000">
        <w:rPr>
          <w:sz w:val="20"/>
          <w:szCs w:val="20"/>
          <w:rtl w:val="0"/>
        </w:rPr>
        <w:t xml:space="preserve">/ū/</w:t>
      </w:r>
      <w:r w:rsidDel="00000000" w:rsidR="00000000" w:rsidRPr="00000000">
        <w:rPr>
          <w:rtl w:val="0"/>
        </w:rPr>
        <w:tab/>
        <w:tab/>
      </w:r>
    </w:p>
    <w:p w:rsidR="00000000" w:rsidDel="00000000" w:rsidP="00000000" w:rsidRDefault="00000000" w:rsidRPr="00000000">
      <w:pPr>
        <w:contextualSpacing w:val="0"/>
        <w:rPr/>
      </w:pPr>
      <w:r w:rsidDel="00000000" w:rsidR="00000000" w:rsidRPr="00000000">
        <w:rPr>
          <w:rtl w:val="0"/>
        </w:rPr>
        <w:t xml:space="preserve">plug - /ŭ/</w:t>
        <w:tab/>
        <w:tab/>
        <w:t xml:space="preserve">music - </w:t>
      </w:r>
      <w:r w:rsidDel="00000000" w:rsidR="00000000" w:rsidRPr="00000000">
        <w:rPr>
          <w:sz w:val="20"/>
          <w:szCs w:val="20"/>
          <w:rtl w:val="0"/>
        </w:rPr>
        <w:t xml:space="preserve">/ū/</w:t>
      </w:r>
      <w:r w:rsidDel="00000000" w:rsidR="00000000" w:rsidRPr="00000000">
        <w:rPr>
          <w:rtl w:val="0"/>
        </w:rPr>
        <w:tab/>
        <w:tab/>
        <w:t xml:space="preserve">uncle - /ŭ/</w:t>
        <w:tab/>
        <w:tab/>
        <w:t xml:space="preserve">mug - /ŭ/</w:t>
        <w:tab/>
        <w:tab/>
        <w:tab/>
      </w:r>
    </w:p>
    <w:p w:rsidR="00000000" w:rsidDel="00000000" w:rsidP="00000000" w:rsidRDefault="00000000" w:rsidRPr="00000000">
      <w:pPr>
        <w:contextualSpacing w:val="0"/>
        <w:rPr/>
      </w:pPr>
      <w:r w:rsidDel="00000000" w:rsidR="00000000" w:rsidRPr="00000000">
        <w:rPr>
          <w:rtl w:val="0"/>
        </w:rPr>
        <w:t xml:space="preserve">unicorn - </w:t>
      </w:r>
      <w:r w:rsidDel="00000000" w:rsidR="00000000" w:rsidRPr="00000000">
        <w:rPr>
          <w:sz w:val="20"/>
          <w:szCs w:val="20"/>
          <w:rtl w:val="0"/>
        </w:rPr>
        <w:t xml:space="preserve">/ū/</w:t>
      </w:r>
      <w:r w:rsidDel="00000000" w:rsidR="00000000" w:rsidRPr="00000000">
        <w:rPr>
          <w:rtl w:val="0"/>
        </w:rPr>
        <w:tab/>
        <w:tab/>
        <w:t xml:space="preserve">slug - /ŭ/</w:t>
        <w:tab/>
        <w:tab/>
        <w:t xml:space="preserve">shut -/ŭ/</w:t>
        <w:tab/>
        <w:tab/>
        <w:t xml:space="preserve">due - </w:t>
      </w:r>
      <w:r w:rsidDel="00000000" w:rsidR="00000000" w:rsidRPr="00000000">
        <w:rPr>
          <w:sz w:val="20"/>
          <w:szCs w:val="20"/>
          <w:rtl w:val="0"/>
        </w:rPr>
        <w:t xml:space="preserve">/ū/</w:t>
      </w:r>
      <w:r w:rsidDel="00000000" w:rsidR="00000000" w:rsidRPr="00000000">
        <w:rPr>
          <w:rtl w:val="0"/>
        </w:rPr>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Using the Whole Page to Figure out a Keyword</w:t>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Over the past few weeks, we have been studying ways to become stronger readers of nonfiction books.</w:t>
      </w:r>
      <w:r w:rsidDel="00000000" w:rsidR="00000000" w:rsidRPr="00000000">
        <w:rPr>
          <w:rtl w:val="0"/>
        </w:rPr>
        <w:t xml:space="preserve"> Last week, we talked about using bold print, text boxes, labels and glossaries to help you figure out keywords.</w:t>
      </w:r>
      <w:r w:rsidDel="00000000" w:rsidR="00000000" w:rsidRPr="00000000">
        <w:rPr>
          <w:rtl w:val="0"/>
        </w:rPr>
        <w:t xml:space="preserve"> Today, I want to teach you to use the whole page and everything you know about the topic to figure out what a keyword </w:t>
      </w:r>
      <w:r w:rsidDel="00000000" w:rsidR="00000000" w:rsidRPr="00000000">
        <w:rPr>
          <w:rtl w:val="0"/>
        </w:rPr>
        <w:t xml:space="preserve">word</w:t>
      </w:r>
      <w:r w:rsidDel="00000000" w:rsidR="00000000" w:rsidRPr="00000000">
        <w:rPr>
          <w:rtl w:val="0"/>
        </w:rPr>
        <w:t xml:space="preserve"> </w:t>
      </w:r>
      <w:r w:rsidDel="00000000" w:rsidR="00000000" w:rsidRPr="00000000">
        <w:rPr>
          <w:i w:val="1"/>
          <w:rtl w:val="0"/>
        </w:rPr>
        <w:t xml:space="preserve">probably </w:t>
      </w:r>
      <w:r w:rsidDel="00000000" w:rsidR="00000000" w:rsidRPr="00000000">
        <w:rPr>
          <w:rtl w:val="0"/>
        </w:rPr>
        <w:t xml:space="preserve">means.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look back at the article we read two weeks ago called “Life in the Ocean.” In the second paragraph it says, “whales live here because they need to swim to the </w:t>
      </w:r>
      <w:r w:rsidDel="00000000" w:rsidR="00000000" w:rsidRPr="00000000">
        <w:rPr>
          <w:u w:val="single"/>
          <w:rtl w:val="0"/>
        </w:rPr>
        <w:t xml:space="preserve">surface</w:t>
      </w:r>
      <w:r w:rsidDel="00000000" w:rsidR="00000000" w:rsidRPr="00000000">
        <w:rPr>
          <w:rtl w:val="0"/>
        </w:rPr>
        <w:t xml:space="preserve"> to breathe air”. (underline the word </w:t>
      </w:r>
      <w:r w:rsidDel="00000000" w:rsidR="00000000" w:rsidRPr="00000000">
        <w:rPr>
          <w:u w:val="single"/>
          <w:rtl w:val="0"/>
        </w:rPr>
        <w:t xml:space="preserve">surface</w:t>
      </w:r>
      <w:r w:rsidDel="00000000" w:rsidR="00000000" w:rsidRPr="00000000">
        <w:rPr>
          <w:rtl w:val="0"/>
        </w:rPr>
        <w:t xml:space="preserve"> in your article) Let’s think about what the word </w:t>
      </w:r>
      <w:r w:rsidDel="00000000" w:rsidR="00000000" w:rsidRPr="00000000">
        <w:rPr>
          <w:u w:val="single"/>
          <w:rtl w:val="0"/>
        </w:rPr>
        <w:t xml:space="preserve">surface</w:t>
      </w:r>
      <w:r w:rsidDel="00000000" w:rsidR="00000000" w:rsidRPr="00000000">
        <w:rPr>
          <w:rtl w:val="0"/>
        </w:rPr>
        <w:t xml:space="preserve"> </w:t>
      </w:r>
      <w:r w:rsidDel="00000000" w:rsidR="00000000" w:rsidRPr="00000000">
        <w:rPr>
          <w:i w:val="1"/>
          <w:rtl w:val="0"/>
        </w:rPr>
        <w:t xml:space="preserve">really</w:t>
      </w:r>
      <w:r w:rsidDel="00000000" w:rsidR="00000000" w:rsidRPr="00000000">
        <w:rPr>
          <w:rtl w:val="0"/>
        </w:rPr>
        <w:t xml:space="preserve"> means in this sentence. I know that air is found above the water so the </w:t>
      </w:r>
      <w:r w:rsidDel="00000000" w:rsidR="00000000" w:rsidRPr="00000000">
        <w:rPr>
          <w:u w:val="single"/>
          <w:rtl w:val="0"/>
        </w:rPr>
        <w:t xml:space="preserve">surface</w:t>
      </w:r>
      <w:r w:rsidDel="00000000" w:rsidR="00000000" w:rsidRPr="00000000">
        <w:rPr>
          <w:rtl w:val="0"/>
        </w:rPr>
        <w:t xml:space="preserve"> must mean the top of the water. Let’s take a look at the picture on the top of the page. What do you see? Read the caption. What does it teach you? What does it make you think? (student describes what they see, a whale jumping or breaching…. ) </w:t>
      </w:r>
      <w:r w:rsidDel="00000000" w:rsidR="00000000" w:rsidRPr="00000000">
        <w:rPr>
          <w:b w:val="1"/>
          <w:rtl w:val="0"/>
        </w:rPr>
        <w:t xml:space="preserve">Say:</w:t>
      </w:r>
      <w:r w:rsidDel="00000000" w:rsidR="00000000" w:rsidRPr="00000000">
        <w:rPr>
          <w:rtl w:val="0"/>
        </w:rPr>
        <w:t xml:space="preserve"> Oh... the whale must be getting air since it is out of the water; it’s above the surface.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Using everything on the page, along with what you already know about the topic, will help you figure out what a word means.</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As you are reading today, and you come to keywords, be sure to use everything on the page along with all you know to help you figure out the meaning of the word.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the student reads aloud, find several keywords in their book and </w:t>
      </w:r>
      <w:r w:rsidDel="00000000" w:rsidR="00000000" w:rsidRPr="00000000">
        <w:rPr>
          <w:b w:val="1"/>
          <w:rtl w:val="0"/>
        </w:rPr>
        <w:t xml:space="preserve">Ask</w:t>
      </w:r>
      <w:r w:rsidDel="00000000" w:rsidR="00000000" w:rsidRPr="00000000">
        <w:rPr>
          <w:rtl w:val="0"/>
        </w:rPr>
        <w:t xml:space="preserve">, “What does that word mean? How do you know? What on the page helped you understand the meaning of the keyword?” (if the student does not know the meaning of a word, lead them through this process to help them figure it out.)</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Let’s review. Describe some ways you can determine the meaning of keywords as you are reading your nonfiction books.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Bold print, text boxes, glossaries, use everything on the page and what you know</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 sure to save the article for lesson 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pPr>
      <w:r w:rsidDel="00000000" w:rsidR="00000000" w:rsidRPr="00000000">
        <w:rPr>
          <w:b w:val="1"/>
          <w:rtl w:val="0"/>
        </w:rPr>
        <w:t xml:space="preserve">Text-Dependent Questions:</w:t>
      </w: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Nonfiction:</w:t>
      </w: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Choose a paragraph that you have read today. How does the punctuation in this part help you read like you teaching something?</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What is the main idea of this paragraph? How does it connect with what you have read?</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3rd read and focus on that specific goal.</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66675</wp:posOffset>
                </wp:positionV>
                <wp:extent cx="5943600" cy="42926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4292600"/>
                        </a:xfrm>
                        <a:prstGeom prst="rect"/>
                        <a:ln/>
                      </pic:spPr>
                    </pic:pic>
                  </a:graphicData>
                </a:graphic>
              </wp:anchor>
            </w:drawing>
          </mc:Choice>
          <mc:Fallback>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66675</wp:posOffset>
                </wp:positionV>
                <wp:extent cx="5943600" cy="4292600"/>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4292600"/>
                        </a:xfrm>
                        <a:prstGeom prst="rect"/>
                        <a:ln/>
                      </pic:spPr>
                    </pic:pic>
                  </a:graphicData>
                </a:graphic>
              </wp:anchor>
            </w:drawing>
          </mc:Fallback>
        </mc:AlternateConten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