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Eleven (This lesson continues the previous lesson)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“The Father”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Setting, Character, Plot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Rereading Prose </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“Reach for the stars.  If you don’t touch them you won’t end up with a fist full of mud either..”</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Reading Like a Detective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“The Father” is a story about some mysterious family secrets.  But like a lot of literature you’ll read this year, it’s pretty subtle.  You’ve got to really pay attention to all the details in order to out the clues together.  If you read the story through once or even twice but don’t know what to look for, you might say, “What was the point?  “Nothing happened?’  However, if you find the clues, you’ll realize that something pretty big is happening.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When you read stories like this, you’ve got to put yourself in the shoes of a detective.  A detective gathers clues and then puts them together like a puzzle.  He keeps looking for evidence and even returns to the scene of a crime numerous times in the hopes of noticing something he’s missed.  That’s what you’re going to do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(Pass out the story and the chart.)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Notetaking:  </w:t>
            </w:r>
            <w:r w:rsidDel="00000000" w:rsidR="00000000" w:rsidRPr="00000000">
              <w:rPr>
                <w:rFonts w:ascii="Oxygen" w:cs="Oxygen" w:eastAsia="Oxygen" w:hAnsi="Oxygen"/>
                <w:i w:val="1"/>
                <w:rtl w:val="0"/>
              </w:rPr>
              <w:t xml:space="preserve">Instead of trying to read this story looking for everything, I want you to examine the “crime scene,” looking for only one kind of evidence at a time.  Take your chart and fold it in thirds so that just the column that says “Setting” is visible.  The first time you read this story, all I want you to do is look for setting clues and  underline/highlight them.  The clues might be directly stated or just hints that will help you make an inference.  After we read the story, we will record our ideas about setting  on our chart.  I’ll model the first paragraph for you.  (</w:t>
            </w:r>
            <w:r w:rsidDel="00000000" w:rsidR="00000000" w:rsidRPr="00000000">
              <w:rPr>
                <w:rFonts w:ascii="Oxygen" w:cs="Oxygen" w:eastAsia="Oxygen" w:hAnsi="Oxygen"/>
                <w:b w:val="1"/>
                <w:rtl w:val="0"/>
              </w:rPr>
              <w:t xml:space="preserve">Read the first paragraph aloud and then stop.  As you read, highlight/underline the details about setting.)</w:t>
            </w:r>
            <w:r w:rsidDel="00000000" w:rsidR="00000000" w:rsidRPr="00000000">
              <w:rPr>
                <w:rFonts w:ascii="Oxygen" w:cs="Oxygen" w:eastAsia="Oxygen" w:hAnsi="Oxygen"/>
                <w:i w:val="1"/>
                <w:rtl w:val="0"/>
              </w:rPr>
              <w:t xml:space="preserve"> Ok., I learned a lot about the setting from the first paragraph. </w:t>
            </w:r>
            <w:r w:rsidDel="00000000" w:rsidR="00000000" w:rsidRPr="00000000">
              <w:rPr>
                <w:rFonts w:ascii="Oxygen" w:cs="Oxygen" w:eastAsia="Oxygen" w:hAnsi="Oxygen"/>
                <w:b w:val="1"/>
                <w:i w:val="1"/>
                <w:rtl w:val="0"/>
              </w:rPr>
              <w:t xml:space="preserve"> (Continue to share what you noticed.  </w:t>
            </w:r>
            <w:r w:rsidDel="00000000" w:rsidR="00000000" w:rsidRPr="00000000">
              <w:rPr>
                <w:rFonts w:ascii="Oxygen" w:cs="Oxygen" w:eastAsia="Oxygen" w:hAnsi="Oxygen"/>
                <w:b w:val="1"/>
                <w:rtl w:val="0"/>
              </w:rPr>
              <w:t xml:space="preserve">(Please be sure scholars are writing details in the setting column of the chart.)  </w:t>
            </w:r>
            <w:r w:rsidDel="00000000" w:rsidR="00000000" w:rsidRPr="00000000">
              <w:rPr>
                <w:rFonts w:ascii="Oxygen" w:cs="Oxygen" w:eastAsia="Oxygen" w:hAnsi="Oxygen"/>
                <w:i w:val="1"/>
                <w:rtl w:val="0"/>
              </w:rPr>
              <w:t xml:space="preserve">Do you understand how i figured that stuff out even though the story never directly mentions any of the details I wrote down?  I had to be a detective, look for clues, and then fill in the blanks. When a story makes you fill in the blanks from clues, it’s asking you to make inferences.  Any questions?  Now I want you to read the rest of the story and look for more setting details.  Remember, they might be directly stated or you might have to read between the lines.  If you notice other stuff in the story, that’s fine, but for right now I only want you to underline/highlight details on setting.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(Give students time to read the rest of the story and underline/highlight and record notes on setting.  Then, discuss what scholar noted about the setting.)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Now, we are going to re-read the story but this time we will underline/highlight details about the characters of the story.  After we read the story, we will record our ideas about characters on our chart.   If you notice other stuff in the story, that’s fine, but for right now I only want you to underline/highlight details about characters.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(Give students time to read the rest of the story and underline/highlight and record notes on characters..  Then, discuss what scholar noted about the setting.)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i w:val="1"/>
                <w:rtl w:val="0"/>
              </w:rPr>
              <w:t xml:space="preserve">Ok, </w:t>
            </w:r>
            <w:r w:rsidDel="00000000" w:rsidR="00000000" w:rsidRPr="00000000">
              <w:rPr>
                <w:rFonts w:ascii="Oxygen" w:cs="Oxygen" w:eastAsia="Oxygen" w:hAnsi="Oxygen"/>
                <w:i w:val="1"/>
                <w:rtl w:val="0"/>
              </w:rPr>
              <w:t xml:space="preserve">we are going to re-read the story for the last time but this time we will underline/highlight details about the plot of the story.  After we read the story, we will record our ideas about plot on our chart.   If you notice other stuff in the story, that’s fine, but for right now I only want you to underline/highlight details about plot.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(Give students time to read the rest of the story and underline/highlight and record notes on characters..  Then, discuss what scholar noted about the setting.)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Four:  (After they’ve reread the story for the third time, invite scholars to discuss the following questions: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Why did the author choose this particular setting?</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How does the setting of the story impact the characters and the plot events of the story?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