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BE" w:rsidRPr="00250405" w:rsidRDefault="00A84CBE" w:rsidP="00A84CBE">
      <w:pPr>
        <w:pStyle w:val="PlainText"/>
        <w:ind w:left="360"/>
        <w:rPr>
          <w:b/>
          <w:i/>
          <w:sz w:val="20"/>
          <w:szCs w:val="20"/>
          <w:u w:val="single"/>
        </w:rPr>
      </w:pPr>
      <w:r w:rsidRPr="00250405">
        <w:rPr>
          <w:b/>
          <w:i/>
          <w:sz w:val="20"/>
          <w:szCs w:val="20"/>
          <w:u w:val="single"/>
        </w:rPr>
        <w:t>Session 28</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sidRPr="00250405">
        <w:rPr>
          <w:b/>
          <w:sz w:val="20"/>
          <w:szCs w:val="20"/>
        </w:rPr>
        <w:t>Focus</w:t>
      </w:r>
      <w:r>
        <w:rPr>
          <w:sz w:val="20"/>
          <w:szCs w:val="20"/>
        </w:rPr>
        <w:t>: Readers understand the meanings of common prefixes and suffixes of words</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sidRPr="00250405">
        <w:rPr>
          <w:b/>
          <w:sz w:val="20"/>
          <w:szCs w:val="20"/>
        </w:rPr>
        <w:t>Genre</w:t>
      </w:r>
      <w:r>
        <w:rPr>
          <w:sz w:val="20"/>
          <w:szCs w:val="20"/>
        </w:rPr>
        <w:t>: fiction or nonfiction (or attached materials)</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sidRPr="00250405">
        <w:rPr>
          <w:b/>
          <w:sz w:val="20"/>
          <w:szCs w:val="20"/>
        </w:rPr>
        <w:t>Materials</w:t>
      </w:r>
      <w:r>
        <w:rPr>
          <w:sz w:val="20"/>
          <w:szCs w:val="20"/>
        </w:rPr>
        <w:t>:  student’s books, pencils, journal/stickies, prefix and suffix worksheet</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sidRPr="00250405">
        <w:rPr>
          <w:b/>
          <w:sz w:val="20"/>
          <w:szCs w:val="20"/>
        </w:rPr>
        <w:t>Before Reading Mentor Says</w:t>
      </w:r>
      <w:r>
        <w:rPr>
          <w:sz w:val="20"/>
          <w:szCs w:val="20"/>
        </w:rPr>
        <w:t>: How are you doing today?  Has anything exciting happened during you week?  I know this time of the year is when your teacher is helping you get ready for the end of grade test.  How do you feel about the EOG?</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Pr>
          <w:sz w:val="20"/>
          <w:szCs w:val="20"/>
        </w:rPr>
        <w:t>Today, we are going to be learning about something that can really help you with tricky words on the EOG.  Have you heard the word prefix before?  What is a prefix?  Have you heard the word suffix before? What is a suffix?  A prefix is the beginning part of a word.  A suffix is an ending part of a word.  When you know what each part of a longer word means, you can put them together to figure out what the whole word means.  Today I am going to teach you how to separate parts of the word, think about what each part means, and then put the words back together.</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Pr>
          <w:sz w:val="20"/>
          <w:szCs w:val="20"/>
        </w:rPr>
        <w:t>Now let’s think about some commone prefixes and suffixes before we get to work.  The other day, I felt unhappy when ___________________________.  I can tell that the word unhappy means the opposite of happy.  That is because the prefix –un means “Not.”   Can you tell me what it means to be “unhelpful” or “unafraid”?</w:t>
      </w:r>
    </w:p>
    <w:p w:rsidR="00A84CBE" w:rsidRDefault="00A84CBE" w:rsidP="00A84CBE">
      <w:pPr>
        <w:pStyle w:val="PlainText"/>
        <w:ind w:left="360"/>
        <w:rPr>
          <w:sz w:val="20"/>
          <w:szCs w:val="20"/>
        </w:rPr>
      </w:pPr>
      <w:r>
        <w:rPr>
          <w:sz w:val="20"/>
          <w:szCs w:val="20"/>
        </w:rPr>
        <w:t>The other day, I saw the smallest and cutest cat in the street.  The words “smallest” and “cutest” have a similar ending to them.  They both end in –est.  What do you think the suffix –est means?  This means the thing you are describing has the most of that quality.  No other cat is a cute or as small as the cat that I saw.  Now that you know what the suffix means, you could probably figure out what “weakest” “brightest” and “softest” mean.</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sidRPr="00250405">
        <w:rPr>
          <w:b/>
          <w:sz w:val="20"/>
          <w:szCs w:val="20"/>
        </w:rPr>
        <w:t>During Reading</w:t>
      </w:r>
      <w:r>
        <w:rPr>
          <w:sz w:val="20"/>
          <w:szCs w:val="20"/>
        </w:rPr>
        <w:t>: Let’s take out a book from your book baggie and look for some prefixes and suffixes while we read.  We will stop after 10 minutes and focus on more prefixes and suffixes on their own.</w:t>
      </w:r>
    </w:p>
    <w:tbl>
      <w:tblPr>
        <w:tblStyle w:val="TableGrid"/>
        <w:tblW w:w="0" w:type="auto"/>
        <w:tblInd w:w="360" w:type="dxa"/>
        <w:tblLook w:val="04A0"/>
      </w:tblPr>
      <w:tblGrid>
        <w:gridCol w:w="5284"/>
        <w:gridCol w:w="5372"/>
      </w:tblGrid>
      <w:tr w:rsidR="00A84CBE" w:rsidTr="005F72DC">
        <w:tc>
          <w:tcPr>
            <w:tcW w:w="5508" w:type="dxa"/>
          </w:tcPr>
          <w:p w:rsidR="00A84CBE" w:rsidRDefault="00A84CBE" w:rsidP="005F72DC">
            <w:pPr>
              <w:pStyle w:val="PlainText"/>
              <w:rPr>
                <w:sz w:val="20"/>
                <w:szCs w:val="20"/>
              </w:rPr>
            </w:pPr>
            <w:r>
              <w:rPr>
                <w:sz w:val="20"/>
                <w:szCs w:val="20"/>
              </w:rPr>
              <w:t>Prompting Questions</w:t>
            </w:r>
          </w:p>
        </w:tc>
        <w:tc>
          <w:tcPr>
            <w:tcW w:w="5508" w:type="dxa"/>
          </w:tcPr>
          <w:p w:rsidR="00A84CBE" w:rsidRDefault="00A84CBE" w:rsidP="005F72DC">
            <w:pPr>
              <w:pStyle w:val="PlainText"/>
              <w:rPr>
                <w:sz w:val="20"/>
                <w:szCs w:val="20"/>
              </w:rPr>
            </w:pPr>
            <w:r>
              <w:rPr>
                <w:sz w:val="20"/>
                <w:szCs w:val="20"/>
              </w:rPr>
              <w:t>Writing Activity</w:t>
            </w:r>
          </w:p>
        </w:tc>
      </w:tr>
      <w:tr w:rsidR="00A84CBE" w:rsidTr="005F72DC">
        <w:tc>
          <w:tcPr>
            <w:tcW w:w="5508" w:type="dxa"/>
          </w:tcPr>
          <w:p w:rsidR="00A84CBE" w:rsidRDefault="00A84CBE" w:rsidP="005F72DC">
            <w:pPr>
              <w:pStyle w:val="PlainText"/>
              <w:rPr>
                <w:sz w:val="20"/>
                <w:szCs w:val="20"/>
              </w:rPr>
            </w:pPr>
            <w:r>
              <w:rPr>
                <w:sz w:val="20"/>
                <w:szCs w:val="20"/>
              </w:rPr>
              <w:t>What part of the word do you notice?</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What does that part mean?</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What other words do you know with that same prefix or suffix?</w:t>
            </w:r>
          </w:p>
          <w:p w:rsidR="00A84CBE" w:rsidRDefault="00A84CBE" w:rsidP="005F72DC">
            <w:pPr>
              <w:pStyle w:val="PlainText"/>
              <w:rPr>
                <w:sz w:val="20"/>
                <w:szCs w:val="20"/>
              </w:rPr>
            </w:pP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(complete prefix and suffix worksheet together)</w:t>
            </w:r>
          </w:p>
        </w:tc>
        <w:tc>
          <w:tcPr>
            <w:tcW w:w="5508" w:type="dxa"/>
          </w:tcPr>
          <w:p w:rsidR="00A84CBE" w:rsidRDefault="00A84CBE" w:rsidP="005F72DC">
            <w:pPr>
              <w:pStyle w:val="PlainText"/>
              <w:rPr>
                <w:sz w:val="20"/>
                <w:szCs w:val="20"/>
              </w:rPr>
            </w:pPr>
            <w:r>
              <w:rPr>
                <w:sz w:val="20"/>
                <w:szCs w:val="20"/>
              </w:rPr>
              <w:t>Let’s write a table together of common prefixes and suffixes and what they mean</w:t>
            </w:r>
          </w:p>
          <w:p w:rsidR="00A84CBE" w:rsidRDefault="00A84CBE" w:rsidP="005F72DC">
            <w:pPr>
              <w:pStyle w:val="PlainText"/>
              <w:rPr>
                <w:sz w:val="20"/>
                <w:szCs w:val="20"/>
              </w:rPr>
            </w:pPr>
          </w:p>
          <w:tbl>
            <w:tblPr>
              <w:tblStyle w:val="TableGrid"/>
              <w:tblW w:w="0" w:type="auto"/>
              <w:tblLook w:val="04A0"/>
            </w:tblPr>
            <w:tblGrid>
              <w:gridCol w:w="2547"/>
              <w:gridCol w:w="2547"/>
            </w:tblGrid>
            <w:tr w:rsidR="00A84CBE" w:rsidTr="005F72DC">
              <w:tc>
                <w:tcPr>
                  <w:tcW w:w="2547" w:type="dxa"/>
                </w:tcPr>
                <w:p w:rsidR="00A84CBE" w:rsidRDefault="00A84CBE" w:rsidP="005F72DC">
                  <w:pPr>
                    <w:pStyle w:val="PlainText"/>
                    <w:rPr>
                      <w:sz w:val="20"/>
                      <w:szCs w:val="20"/>
                    </w:rPr>
                  </w:pPr>
                  <w:r>
                    <w:rPr>
                      <w:sz w:val="20"/>
                      <w:szCs w:val="20"/>
                    </w:rPr>
                    <w:t>Prefix- beginning part</w:t>
                  </w:r>
                </w:p>
              </w:tc>
              <w:tc>
                <w:tcPr>
                  <w:tcW w:w="2547" w:type="dxa"/>
                </w:tcPr>
                <w:p w:rsidR="00A84CBE" w:rsidRDefault="00A84CBE" w:rsidP="005F72DC">
                  <w:pPr>
                    <w:pStyle w:val="PlainText"/>
                    <w:rPr>
                      <w:sz w:val="20"/>
                      <w:szCs w:val="20"/>
                    </w:rPr>
                  </w:pPr>
                  <w:r>
                    <w:rPr>
                      <w:sz w:val="20"/>
                      <w:szCs w:val="20"/>
                    </w:rPr>
                    <w:t>Suffix- ending part</w:t>
                  </w:r>
                </w:p>
              </w:tc>
            </w:tr>
            <w:tr w:rsidR="00A84CBE" w:rsidTr="005F72DC">
              <w:tc>
                <w:tcPr>
                  <w:tcW w:w="2547" w:type="dxa"/>
                </w:tcPr>
                <w:p w:rsidR="00A84CBE" w:rsidRDefault="00A84CBE" w:rsidP="005F72DC">
                  <w:pPr>
                    <w:pStyle w:val="PlainText"/>
                    <w:rPr>
                      <w:sz w:val="20"/>
                      <w:szCs w:val="20"/>
                    </w:rPr>
                  </w:pPr>
                  <w:r>
                    <w:rPr>
                      <w:sz w:val="20"/>
                      <w:szCs w:val="20"/>
                    </w:rPr>
                    <w:t>Un- not.   “unfair” “unlock”</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Non- not.  “nonfiction” “nonliving”</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Dis- not.  “Disobey” “Dishonest”</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 xml:space="preserve">Pre- before.  “preview” “prepare” </w:t>
                  </w:r>
                </w:p>
              </w:tc>
              <w:tc>
                <w:tcPr>
                  <w:tcW w:w="2547" w:type="dxa"/>
                </w:tcPr>
                <w:p w:rsidR="00A84CBE" w:rsidRDefault="00A84CBE" w:rsidP="005F72DC">
                  <w:pPr>
                    <w:pStyle w:val="PlainText"/>
                    <w:rPr>
                      <w:sz w:val="20"/>
                      <w:szCs w:val="20"/>
                    </w:rPr>
                  </w:pPr>
                  <w:r>
                    <w:rPr>
                      <w:sz w:val="20"/>
                      <w:szCs w:val="20"/>
                    </w:rPr>
                    <w:t>Less- without.  “careless” “powerless”</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Able- able to be.  “Excitable” “comfortable”</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 xml:space="preserve">Er- more.  “Stronger” “happier” </w:t>
                  </w:r>
                </w:p>
                <w:p w:rsidR="00A84CBE" w:rsidRDefault="00A84CBE" w:rsidP="005F72DC">
                  <w:pPr>
                    <w:pStyle w:val="PlainText"/>
                    <w:rPr>
                      <w:sz w:val="20"/>
                      <w:szCs w:val="20"/>
                    </w:rPr>
                  </w:pPr>
                </w:p>
                <w:p w:rsidR="00A84CBE" w:rsidRDefault="00A84CBE" w:rsidP="005F72DC">
                  <w:pPr>
                    <w:pStyle w:val="PlainText"/>
                    <w:rPr>
                      <w:sz w:val="20"/>
                      <w:szCs w:val="20"/>
                    </w:rPr>
                  </w:pPr>
                  <w:r>
                    <w:rPr>
                      <w:sz w:val="20"/>
                      <w:szCs w:val="20"/>
                    </w:rPr>
                    <w:t>Ful- full of.  “wonderful” “fearfull”</w:t>
                  </w:r>
                </w:p>
              </w:tc>
            </w:tr>
          </w:tbl>
          <w:p w:rsidR="00A84CBE" w:rsidRDefault="00A84CBE" w:rsidP="005F72DC">
            <w:pPr>
              <w:pStyle w:val="PlainText"/>
              <w:rPr>
                <w:sz w:val="20"/>
                <w:szCs w:val="20"/>
              </w:rPr>
            </w:pPr>
          </w:p>
        </w:tc>
      </w:tr>
    </w:tbl>
    <w:p w:rsidR="00A84CBE" w:rsidRDefault="00A84CBE" w:rsidP="00A84CBE">
      <w:pPr>
        <w:pStyle w:val="PlainText"/>
        <w:ind w:left="360"/>
        <w:rPr>
          <w:sz w:val="20"/>
          <w:szCs w:val="20"/>
        </w:rPr>
      </w:pPr>
    </w:p>
    <w:p w:rsidR="00A84CBE" w:rsidRDefault="00A84CBE" w:rsidP="00A84CBE">
      <w:pPr>
        <w:pStyle w:val="PlainText"/>
        <w:rPr>
          <w:sz w:val="20"/>
          <w:szCs w:val="20"/>
        </w:rPr>
      </w:pPr>
    </w:p>
    <w:p w:rsidR="00A84CBE" w:rsidRDefault="00A84CBE" w:rsidP="00A84CBE">
      <w:pPr>
        <w:pStyle w:val="PlainText"/>
        <w:ind w:left="360"/>
        <w:rPr>
          <w:sz w:val="20"/>
          <w:szCs w:val="20"/>
        </w:rPr>
      </w:pPr>
      <w:r w:rsidRPr="00250405">
        <w:rPr>
          <w:b/>
          <w:sz w:val="20"/>
          <w:szCs w:val="20"/>
        </w:rPr>
        <w:t>After Reading</w:t>
      </w:r>
      <w:r>
        <w:rPr>
          <w:sz w:val="20"/>
          <w:szCs w:val="20"/>
        </w:rPr>
        <w:t>:  You did a wonderful job identifying and explaining what prefixes and suffixes mean.  Can you remind me why it is important to notice prefixes and suffixes of a word? Remember, when you get to a tricky word while you are reading, it is important to look out for prefixes and suffixes.  Take the word apart and think about it!</w:t>
      </w:r>
    </w:p>
    <w:p w:rsidR="00A84CBE" w:rsidRDefault="00A84CBE" w:rsidP="00A84CBE">
      <w:pPr>
        <w:pStyle w:val="PlainText"/>
        <w:ind w:left="360"/>
        <w:rPr>
          <w:sz w:val="20"/>
          <w:szCs w:val="20"/>
        </w:rPr>
      </w:pPr>
    </w:p>
    <w:p w:rsidR="00A84CBE" w:rsidRDefault="00A84CBE" w:rsidP="00A84CBE">
      <w:pPr>
        <w:pStyle w:val="PlainText"/>
        <w:ind w:left="360"/>
        <w:rPr>
          <w:sz w:val="20"/>
          <w:szCs w:val="20"/>
        </w:rPr>
      </w:pPr>
      <w:r w:rsidRPr="00250405">
        <w:rPr>
          <w:b/>
          <w:sz w:val="20"/>
          <w:szCs w:val="20"/>
        </w:rPr>
        <w:t>Closing</w:t>
      </w:r>
      <w:r>
        <w:rPr>
          <w:sz w:val="20"/>
          <w:szCs w:val="20"/>
        </w:rP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A84CBE" w:rsidRPr="00F10805" w:rsidRDefault="00A84CBE" w:rsidP="00A84CBE">
      <w:pPr>
        <w:pStyle w:val="PlainText"/>
        <w:ind w:left="360"/>
        <w:rPr>
          <w:sz w:val="20"/>
          <w:szCs w:val="20"/>
        </w:rPr>
      </w:pPr>
    </w:p>
    <w:p w:rsidR="00A84CBE" w:rsidRPr="0003060D" w:rsidRDefault="00A84CBE" w:rsidP="00A84CBE">
      <w:pPr>
        <w:pStyle w:val="PlainText"/>
        <w:numPr>
          <w:ilvl w:val="0"/>
          <w:numId w:val="1"/>
        </w:numPr>
        <w:rPr>
          <w:sz w:val="20"/>
          <w:szCs w:val="20"/>
        </w:rPr>
      </w:pPr>
      <w:r w:rsidRPr="0003060D">
        <w:rPr>
          <w:sz w:val="20"/>
          <w:szCs w:val="20"/>
        </w:rPr>
        <w:t>Fill out the teacher/mentor communication log</w:t>
      </w:r>
    </w:p>
    <w:p w:rsidR="00A84CBE" w:rsidRPr="0003060D" w:rsidRDefault="00A84CBE" w:rsidP="00A84CBE">
      <w:pPr>
        <w:pStyle w:val="PlainText"/>
        <w:numPr>
          <w:ilvl w:val="0"/>
          <w:numId w:val="1"/>
        </w:numPr>
        <w:rPr>
          <w:sz w:val="20"/>
          <w:szCs w:val="20"/>
        </w:rPr>
      </w:pPr>
      <w:r w:rsidRPr="0003060D">
        <w:rPr>
          <w:sz w:val="20"/>
          <w:szCs w:val="20"/>
        </w:rPr>
        <w:t xml:space="preserve">Check the school calendar for upcoming events </w:t>
      </w:r>
    </w:p>
    <w:p w:rsidR="00A84CBE" w:rsidRPr="0003060D" w:rsidRDefault="00A84CBE" w:rsidP="00A84CBE">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A74F33" w:rsidRPr="00A84CBE" w:rsidRDefault="00A84CBE" w:rsidP="00A84CBE">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bookmarkStart w:id="0" w:name="_GoBack"/>
      <w:bookmarkEnd w:id="0"/>
    </w:p>
    <w:sectPr w:rsidR="00A74F33" w:rsidRPr="00A84CBE" w:rsidSect="00A84C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6382"/>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84CBE"/>
    <w:rsid w:val="00084600"/>
    <w:rsid w:val="00110A2F"/>
    <w:rsid w:val="00347E72"/>
    <w:rsid w:val="00A74576"/>
    <w:rsid w:val="00A84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84C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4CB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84C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4CBE"/>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Windows User</cp:lastModifiedBy>
  <cp:revision>2</cp:revision>
  <dcterms:created xsi:type="dcterms:W3CDTF">2015-07-20T20:28:00Z</dcterms:created>
  <dcterms:modified xsi:type="dcterms:W3CDTF">2015-07-20T20:28:00Z</dcterms:modified>
</cp:coreProperties>
</file>