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E37" w:rsidRPr="00934B2C" w:rsidRDefault="00C84E37" w:rsidP="00C84E37">
      <w:pPr>
        <w:pStyle w:val="PlainText"/>
        <w:ind w:left="360"/>
        <w:rPr>
          <w:b/>
          <w:i/>
          <w:sz w:val="20"/>
          <w:szCs w:val="20"/>
          <w:u w:val="single"/>
        </w:rPr>
      </w:pPr>
      <w:r w:rsidRPr="00934B2C">
        <w:rPr>
          <w:b/>
          <w:i/>
          <w:sz w:val="20"/>
          <w:szCs w:val="20"/>
          <w:u w:val="single"/>
        </w:rPr>
        <w:t>Session 29</w:t>
      </w:r>
    </w:p>
    <w:p w:rsidR="00C84E37" w:rsidRDefault="00C84E37" w:rsidP="00C84E37">
      <w:pPr>
        <w:pStyle w:val="PlainText"/>
        <w:ind w:left="360"/>
        <w:rPr>
          <w:sz w:val="20"/>
          <w:szCs w:val="20"/>
        </w:rPr>
      </w:pPr>
    </w:p>
    <w:p w:rsidR="00C84E37" w:rsidRDefault="00C84E37" w:rsidP="00C84E37">
      <w:pPr>
        <w:pStyle w:val="PlainText"/>
        <w:ind w:left="360"/>
        <w:rPr>
          <w:sz w:val="20"/>
          <w:szCs w:val="20"/>
        </w:rPr>
      </w:pPr>
      <w:r w:rsidRPr="00934B2C">
        <w:rPr>
          <w:b/>
          <w:sz w:val="20"/>
          <w:szCs w:val="20"/>
        </w:rPr>
        <w:t>Focus</w:t>
      </w:r>
      <w:r>
        <w:rPr>
          <w:sz w:val="20"/>
          <w:szCs w:val="20"/>
        </w:rPr>
        <w:t>: Readers understand synonyms and antonyms</w:t>
      </w:r>
    </w:p>
    <w:p w:rsidR="00C84E37" w:rsidRDefault="00C84E37" w:rsidP="00C84E37">
      <w:pPr>
        <w:pStyle w:val="PlainText"/>
        <w:ind w:left="360"/>
        <w:rPr>
          <w:sz w:val="20"/>
          <w:szCs w:val="20"/>
        </w:rPr>
      </w:pPr>
    </w:p>
    <w:p w:rsidR="00C84E37" w:rsidRDefault="00C84E37" w:rsidP="00C84E37">
      <w:pPr>
        <w:pStyle w:val="PlainText"/>
        <w:ind w:left="360"/>
        <w:rPr>
          <w:sz w:val="20"/>
          <w:szCs w:val="20"/>
        </w:rPr>
      </w:pPr>
      <w:r w:rsidRPr="00934B2C">
        <w:rPr>
          <w:b/>
          <w:sz w:val="20"/>
          <w:szCs w:val="20"/>
        </w:rPr>
        <w:t>Genre</w:t>
      </w:r>
      <w:r>
        <w:rPr>
          <w:sz w:val="20"/>
          <w:szCs w:val="20"/>
        </w:rPr>
        <w:t>: fiction or synonyms/antonyms worksheet</w:t>
      </w:r>
    </w:p>
    <w:p w:rsidR="00C84E37" w:rsidRDefault="00C84E37" w:rsidP="00C84E37">
      <w:pPr>
        <w:pStyle w:val="PlainText"/>
        <w:ind w:left="360"/>
        <w:rPr>
          <w:sz w:val="20"/>
          <w:szCs w:val="20"/>
        </w:rPr>
      </w:pPr>
    </w:p>
    <w:p w:rsidR="00C84E37" w:rsidRDefault="00C84E37" w:rsidP="00C84E37">
      <w:pPr>
        <w:pStyle w:val="PlainText"/>
        <w:ind w:left="360"/>
        <w:rPr>
          <w:sz w:val="20"/>
          <w:szCs w:val="20"/>
        </w:rPr>
      </w:pPr>
      <w:r w:rsidRPr="00934B2C">
        <w:rPr>
          <w:b/>
          <w:sz w:val="20"/>
          <w:szCs w:val="20"/>
        </w:rPr>
        <w:t>Materials</w:t>
      </w:r>
      <w:r>
        <w:rPr>
          <w:sz w:val="20"/>
          <w:szCs w:val="20"/>
        </w:rPr>
        <w:t>: student’s books, pencils, journal/stickies, synonyms and antonyms worksheet</w:t>
      </w:r>
    </w:p>
    <w:p w:rsidR="00C84E37" w:rsidRDefault="00C84E37" w:rsidP="00C84E37">
      <w:pPr>
        <w:pStyle w:val="PlainText"/>
        <w:ind w:left="360"/>
        <w:rPr>
          <w:sz w:val="20"/>
          <w:szCs w:val="20"/>
        </w:rPr>
      </w:pPr>
    </w:p>
    <w:p w:rsidR="00C84E37" w:rsidRDefault="00C84E37" w:rsidP="00C84E37">
      <w:pPr>
        <w:pStyle w:val="PlainText"/>
        <w:ind w:left="360"/>
        <w:rPr>
          <w:sz w:val="20"/>
          <w:szCs w:val="20"/>
        </w:rPr>
      </w:pPr>
      <w:r w:rsidRPr="00934B2C">
        <w:rPr>
          <w:b/>
          <w:sz w:val="20"/>
          <w:szCs w:val="20"/>
        </w:rPr>
        <w:t>Before Reading Mentor Says</w:t>
      </w:r>
      <w:r>
        <w:rPr>
          <w:sz w:val="20"/>
          <w:szCs w:val="20"/>
        </w:rPr>
        <w:t>:  How is your week going so far? How are you feeling about school right now?  I have really been enjoying our time together this year.  The last time we met, we talked about _________________________________.</w:t>
      </w:r>
    </w:p>
    <w:p w:rsidR="00C84E37" w:rsidRDefault="00C84E37" w:rsidP="00C84E37">
      <w:pPr>
        <w:pStyle w:val="PlainText"/>
        <w:ind w:left="360"/>
        <w:rPr>
          <w:sz w:val="20"/>
          <w:szCs w:val="20"/>
        </w:rPr>
      </w:pPr>
      <w:r>
        <w:rPr>
          <w:sz w:val="20"/>
          <w:szCs w:val="20"/>
        </w:rPr>
        <w:t>Today, we will be focusing on synonyms and antonyms.  Can you tell me what you think a synonym is?  What would a synonym for happy be?  What would a synonym for angry be?  Can you tell me what you think an antonym is?  What would an antonym for boring be?  What would an antonym for funny be?</w:t>
      </w:r>
    </w:p>
    <w:p w:rsidR="00C84E37" w:rsidRDefault="00C84E37" w:rsidP="00C84E37">
      <w:pPr>
        <w:pStyle w:val="PlainText"/>
        <w:ind w:left="360"/>
        <w:rPr>
          <w:sz w:val="20"/>
          <w:szCs w:val="20"/>
        </w:rPr>
      </w:pPr>
    </w:p>
    <w:p w:rsidR="00C84E37" w:rsidRPr="007B3D90" w:rsidRDefault="00C84E37" w:rsidP="00C84E37">
      <w:pPr>
        <w:pStyle w:val="PlainText"/>
        <w:ind w:left="360"/>
        <w:rPr>
          <w:sz w:val="20"/>
          <w:szCs w:val="20"/>
        </w:rPr>
      </w:pPr>
      <w:r>
        <w:rPr>
          <w:sz w:val="20"/>
          <w:szCs w:val="20"/>
        </w:rPr>
        <w:t xml:space="preserve">It can be very helpful for readers to understand synonyms and antonyms when you read both fiction and nonfiction.  Today I am going to be asking you questions about words while you read, and push you to think of synonyms and antonyms. </w:t>
      </w:r>
    </w:p>
    <w:p w:rsidR="00C84E37" w:rsidRDefault="00C84E37" w:rsidP="00C84E37">
      <w:pPr>
        <w:pStyle w:val="PlainText"/>
        <w:ind w:left="360"/>
        <w:rPr>
          <w:sz w:val="20"/>
          <w:szCs w:val="20"/>
        </w:rPr>
      </w:pPr>
    </w:p>
    <w:p w:rsidR="00C84E37" w:rsidRDefault="00C84E37" w:rsidP="00C84E37">
      <w:pPr>
        <w:pStyle w:val="PlainText"/>
        <w:ind w:left="360"/>
        <w:rPr>
          <w:sz w:val="20"/>
          <w:szCs w:val="20"/>
        </w:rPr>
      </w:pPr>
      <w:r w:rsidRPr="00934B2C">
        <w:rPr>
          <w:b/>
          <w:sz w:val="20"/>
          <w:szCs w:val="20"/>
        </w:rPr>
        <w:t>During Reading</w:t>
      </w:r>
      <w:r>
        <w:rPr>
          <w:sz w:val="20"/>
          <w:szCs w:val="20"/>
        </w:rPr>
        <w:t>:  Let’s take out a book you have already read from your book baggie.  Pick one out that you feel comfortable reading out loud to me.</w:t>
      </w:r>
    </w:p>
    <w:p w:rsidR="00C84E37" w:rsidRDefault="00C84E37" w:rsidP="00C84E37">
      <w:pPr>
        <w:pStyle w:val="PlainText"/>
        <w:ind w:left="360"/>
        <w:rPr>
          <w:sz w:val="20"/>
          <w:szCs w:val="20"/>
        </w:rPr>
      </w:pPr>
      <w:r>
        <w:rPr>
          <w:sz w:val="20"/>
          <w:szCs w:val="20"/>
        </w:rPr>
        <w:t>Now, let’s write a quick table in our journal to help us keep track of synonyms and antonyms while we read.</w:t>
      </w:r>
    </w:p>
    <w:tbl>
      <w:tblPr>
        <w:tblStyle w:val="TableGrid"/>
        <w:tblW w:w="0" w:type="auto"/>
        <w:tblInd w:w="360" w:type="dxa"/>
        <w:tblLook w:val="04A0"/>
      </w:tblPr>
      <w:tblGrid>
        <w:gridCol w:w="5290"/>
        <w:gridCol w:w="5366"/>
      </w:tblGrid>
      <w:tr w:rsidR="00C84E37" w:rsidTr="005F72DC">
        <w:tc>
          <w:tcPr>
            <w:tcW w:w="5508" w:type="dxa"/>
          </w:tcPr>
          <w:p w:rsidR="00C84E37" w:rsidRDefault="00C84E37" w:rsidP="005F72DC">
            <w:pPr>
              <w:pStyle w:val="PlainText"/>
              <w:rPr>
                <w:sz w:val="20"/>
                <w:szCs w:val="20"/>
              </w:rPr>
            </w:pPr>
            <w:r>
              <w:rPr>
                <w:sz w:val="20"/>
                <w:szCs w:val="20"/>
              </w:rPr>
              <w:t>Prompting Questions</w:t>
            </w:r>
          </w:p>
        </w:tc>
        <w:tc>
          <w:tcPr>
            <w:tcW w:w="5508" w:type="dxa"/>
          </w:tcPr>
          <w:p w:rsidR="00C84E37" w:rsidRDefault="00C84E37" w:rsidP="005F72DC">
            <w:pPr>
              <w:pStyle w:val="PlainText"/>
              <w:rPr>
                <w:sz w:val="20"/>
                <w:szCs w:val="20"/>
              </w:rPr>
            </w:pPr>
            <w:r>
              <w:rPr>
                <w:sz w:val="20"/>
                <w:szCs w:val="20"/>
              </w:rPr>
              <w:t>Writing Activity</w:t>
            </w:r>
          </w:p>
        </w:tc>
      </w:tr>
      <w:tr w:rsidR="00C84E37" w:rsidTr="005F72DC">
        <w:tc>
          <w:tcPr>
            <w:tcW w:w="5508" w:type="dxa"/>
          </w:tcPr>
          <w:p w:rsidR="00C84E37" w:rsidRDefault="00C84E37" w:rsidP="005F72DC">
            <w:pPr>
              <w:pStyle w:val="PlainText"/>
              <w:rPr>
                <w:sz w:val="20"/>
                <w:szCs w:val="20"/>
              </w:rPr>
            </w:pPr>
            <w:r>
              <w:rPr>
                <w:sz w:val="20"/>
                <w:szCs w:val="20"/>
              </w:rPr>
              <w:t>Let’s stop here and look at this word.  What if the character was feeling the opposite of this? What word would you use if ____________ had happened instead?</w:t>
            </w:r>
          </w:p>
          <w:p w:rsidR="00C84E37" w:rsidRDefault="00C84E37" w:rsidP="005F72DC">
            <w:pPr>
              <w:pStyle w:val="PlainText"/>
              <w:rPr>
                <w:sz w:val="20"/>
                <w:szCs w:val="20"/>
              </w:rPr>
            </w:pPr>
          </w:p>
          <w:p w:rsidR="00C84E37" w:rsidRDefault="00C84E37" w:rsidP="005F72DC">
            <w:pPr>
              <w:pStyle w:val="PlainText"/>
              <w:rPr>
                <w:sz w:val="20"/>
                <w:szCs w:val="20"/>
              </w:rPr>
            </w:pPr>
            <w:r>
              <w:rPr>
                <w:sz w:val="20"/>
                <w:szCs w:val="20"/>
              </w:rPr>
              <w:t>Can you think of a word that would fit nicely here and still have the same meaning? What word would you choose?</w:t>
            </w:r>
          </w:p>
          <w:p w:rsidR="00C84E37" w:rsidRDefault="00C84E37" w:rsidP="005F72DC">
            <w:pPr>
              <w:pStyle w:val="PlainText"/>
              <w:rPr>
                <w:sz w:val="20"/>
                <w:szCs w:val="20"/>
              </w:rPr>
            </w:pPr>
          </w:p>
          <w:p w:rsidR="00C84E37" w:rsidRDefault="00C84E37" w:rsidP="005F72DC">
            <w:pPr>
              <w:pStyle w:val="PlainText"/>
              <w:rPr>
                <w:sz w:val="20"/>
                <w:szCs w:val="20"/>
              </w:rPr>
            </w:pPr>
          </w:p>
        </w:tc>
        <w:tc>
          <w:tcPr>
            <w:tcW w:w="5508" w:type="dxa"/>
          </w:tcPr>
          <w:p w:rsidR="00C84E37" w:rsidRDefault="00C84E37" w:rsidP="005F72DC">
            <w:pPr>
              <w:pStyle w:val="PlainText"/>
              <w:rPr>
                <w:sz w:val="20"/>
                <w:szCs w:val="20"/>
              </w:rPr>
            </w:pPr>
            <w:r>
              <w:rPr>
                <w:sz w:val="20"/>
                <w:szCs w:val="20"/>
              </w:rPr>
              <w:t>In you journal, let’s write:</w:t>
            </w:r>
          </w:p>
          <w:p w:rsidR="00C84E37" w:rsidRDefault="00C84E37" w:rsidP="005F72DC">
            <w:pPr>
              <w:pStyle w:val="PlainText"/>
              <w:rPr>
                <w:sz w:val="20"/>
                <w:szCs w:val="20"/>
              </w:rPr>
            </w:pPr>
            <w:r>
              <w:rPr>
                <w:sz w:val="20"/>
                <w:szCs w:val="20"/>
              </w:rPr>
              <w:t xml:space="preserve">Title: </w:t>
            </w:r>
            <w:r w:rsidRPr="00B12082">
              <w:rPr>
                <w:sz w:val="20"/>
                <w:szCs w:val="20"/>
                <w:u w:val="single"/>
              </w:rPr>
              <w:t>Henry and Mudge</w:t>
            </w:r>
          </w:p>
          <w:tbl>
            <w:tblPr>
              <w:tblStyle w:val="TableGrid"/>
              <w:tblW w:w="0" w:type="auto"/>
              <w:tblLook w:val="04A0"/>
            </w:tblPr>
            <w:tblGrid>
              <w:gridCol w:w="1695"/>
              <w:gridCol w:w="1695"/>
              <w:gridCol w:w="1695"/>
            </w:tblGrid>
            <w:tr w:rsidR="00C84E37" w:rsidTr="005F72DC">
              <w:tc>
                <w:tcPr>
                  <w:tcW w:w="1695" w:type="dxa"/>
                </w:tcPr>
                <w:p w:rsidR="00C84E37" w:rsidRDefault="00C84E37" w:rsidP="005F72DC">
                  <w:pPr>
                    <w:pStyle w:val="PlainText"/>
                    <w:rPr>
                      <w:sz w:val="20"/>
                      <w:szCs w:val="20"/>
                    </w:rPr>
                  </w:pPr>
                  <w:r>
                    <w:rPr>
                      <w:sz w:val="20"/>
                      <w:szCs w:val="20"/>
                    </w:rPr>
                    <w:t>Word page #</w:t>
                  </w:r>
                </w:p>
              </w:tc>
              <w:tc>
                <w:tcPr>
                  <w:tcW w:w="1695" w:type="dxa"/>
                </w:tcPr>
                <w:p w:rsidR="00C84E37" w:rsidRDefault="00C84E37" w:rsidP="005F72DC">
                  <w:pPr>
                    <w:pStyle w:val="PlainText"/>
                    <w:rPr>
                      <w:sz w:val="20"/>
                      <w:szCs w:val="20"/>
                    </w:rPr>
                  </w:pPr>
                  <w:r>
                    <w:rPr>
                      <w:sz w:val="20"/>
                      <w:szCs w:val="20"/>
                    </w:rPr>
                    <w:t>Synonym</w:t>
                  </w:r>
                </w:p>
              </w:tc>
              <w:tc>
                <w:tcPr>
                  <w:tcW w:w="1695" w:type="dxa"/>
                </w:tcPr>
                <w:p w:rsidR="00C84E37" w:rsidRDefault="00C84E37" w:rsidP="005F72DC">
                  <w:pPr>
                    <w:pStyle w:val="PlainText"/>
                    <w:rPr>
                      <w:sz w:val="20"/>
                      <w:szCs w:val="20"/>
                    </w:rPr>
                  </w:pPr>
                  <w:r>
                    <w:rPr>
                      <w:sz w:val="20"/>
                      <w:szCs w:val="20"/>
                    </w:rPr>
                    <w:t>Antonym</w:t>
                  </w:r>
                </w:p>
              </w:tc>
            </w:tr>
            <w:tr w:rsidR="00C84E37" w:rsidTr="005F72DC">
              <w:tc>
                <w:tcPr>
                  <w:tcW w:w="1695" w:type="dxa"/>
                </w:tcPr>
                <w:p w:rsidR="00C84E37" w:rsidRDefault="00C84E37" w:rsidP="005F72DC">
                  <w:pPr>
                    <w:pStyle w:val="PlainText"/>
                    <w:rPr>
                      <w:sz w:val="20"/>
                      <w:szCs w:val="20"/>
                    </w:rPr>
                  </w:pPr>
                  <w:r>
                    <w:rPr>
                      <w:sz w:val="20"/>
                      <w:szCs w:val="20"/>
                    </w:rPr>
                    <w:t>Ran  p.4</w:t>
                  </w:r>
                </w:p>
              </w:tc>
              <w:tc>
                <w:tcPr>
                  <w:tcW w:w="1695" w:type="dxa"/>
                </w:tcPr>
                <w:p w:rsidR="00C84E37" w:rsidRDefault="00C84E37" w:rsidP="005F72DC">
                  <w:pPr>
                    <w:pStyle w:val="PlainText"/>
                    <w:rPr>
                      <w:sz w:val="20"/>
                      <w:szCs w:val="20"/>
                    </w:rPr>
                  </w:pPr>
                  <w:r>
                    <w:rPr>
                      <w:sz w:val="20"/>
                      <w:szCs w:val="20"/>
                    </w:rPr>
                    <w:t>dashed</w:t>
                  </w:r>
                </w:p>
              </w:tc>
              <w:tc>
                <w:tcPr>
                  <w:tcW w:w="1695" w:type="dxa"/>
                </w:tcPr>
                <w:p w:rsidR="00C84E37" w:rsidRDefault="00C84E37" w:rsidP="005F72DC">
                  <w:pPr>
                    <w:pStyle w:val="PlainText"/>
                    <w:rPr>
                      <w:sz w:val="20"/>
                      <w:szCs w:val="20"/>
                    </w:rPr>
                  </w:pPr>
                  <w:r>
                    <w:rPr>
                      <w:sz w:val="20"/>
                      <w:szCs w:val="20"/>
                    </w:rPr>
                    <w:t>walked</w:t>
                  </w:r>
                </w:p>
              </w:tc>
            </w:tr>
            <w:tr w:rsidR="00C84E37" w:rsidTr="005F72DC">
              <w:tc>
                <w:tcPr>
                  <w:tcW w:w="1695" w:type="dxa"/>
                </w:tcPr>
                <w:p w:rsidR="00C84E37" w:rsidRDefault="00C84E37" w:rsidP="005F72DC">
                  <w:pPr>
                    <w:pStyle w:val="PlainText"/>
                    <w:rPr>
                      <w:sz w:val="20"/>
                      <w:szCs w:val="20"/>
                    </w:rPr>
                  </w:pPr>
                </w:p>
              </w:tc>
              <w:tc>
                <w:tcPr>
                  <w:tcW w:w="1695" w:type="dxa"/>
                </w:tcPr>
                <w:p w:rsidR="00C84E37" w:rsidRDefault="00C84E37" w:rsidP="005F72DC">
                  <w:pPr>
                    <w:pStyle w:val="PlainText"/>
                    <w:rPr>
                      <w:sz w:val="20"/>
                      <w:szCs w:val="20"/>
                    </w:rPr>
                  </w:pPr>
                </w:p>
              </w:tc>
              <w:tc>
                <w:tcPr>
                  <w:tcW w:w="1695" w:type="dxa"/>
                </w:tcPr>
                <w:p w:rsidR="00C84E37" w:rsidRDefault="00C84E37" w:rsidP="005F72DC">
                  <w:pPr>
                    <w:pStyle w:val="PlainText"/>
                    <w:rPr>
                      <w:sz w:val="20"/>
                      <w:szCs w:val="20"/>
                    </w:rPr>
                  </w:pPr>
                </w:p>
              </w:tc>
            </w:tr>
          </w:tbl>
          <w:p w:rsidR="00C84E37" w:rsidRDefault="00C84E37" w:rsidP="005F72DC">
            <w:pPr>
              <w:pStyle w:val="PlainText"/>
              <w:rPr>
                <w:sz w:val="20"/>
                <w:szCs w:val="20"/>
              </w:rPr>
            </w:pPr>
          </w:p>
          <w:p w:rsidR="00C84E37" w:rsidRDefault="00C84E37" w:rsidP="005F72DC">
            <w:pPr>
              <w:pStyle w:val="PlainText"/>
              <w:rPr>
                <w:sz w:val="20"/>
                <w:szCs w:val="20"/>
              </w:rPr>
            </w:pPr>
            <w:r>
              <w:rPr>
                <w:sz w:val="20"/>
                <w:szCs w:val="20"/>
              </w:rPr>
              <w:t>Let’s write down the definition</w:t>
            </w:r>
          </w:p>
        </w:tc>
      </w:tr>
    </w:tbl>
    <w:p w:rsidR="00C84E37" w:rsidRDefault="00C84E37" w:rsidP="00C84E37">
      <w:pPr>
        <w:pStyle w:val="PlainText"/>
        <w:ind w:left="360"/>
        <w:rPr>
          <w:sz w:val="20"/>
          <w:szCs w:val="20"/>
        </w:rPr>
      </w:pPr>
    </w:p>
    <w:p w:rsidR="00C84E37" w:rsidRDefault="00C84E37" w:rsidP="00C84E37">
      <w:pPr>
        <w:pStyle w:val="PlainText"/>
        <w:ind w:left="360"/>
        <w:rPr>
          <w:sz w:val="20"/>
          <w:szCs w:val="20"/>
        </w:rPr>
      </w:pPr>
      <w:r>
        <w:rPr>
          <w:sz w:val="20"/>
          <w:szCs w:val="20"/>
        </w:rPr>
        <w:t>If time, have the student practice thinking of synonyms to replace the underlined words in the sentences below:</w:t>
      </w:r>
    </w:p>
    <w:p w:rsidR="00C84E37" w:rsidRDefault="00C84E37" w:rsidP="00C84E37">
      <w:pPr>
        <w:pStyle w:val="PlainText"/>
        <w:numPr>
          <w:ilvl w:val="0"/>
          <w:numId w:val="2"/>
        </w:numPr>
        <w:rPr>
          <w:sz w:val="20"/>
          <w:szCs w:val="20"/>
        </w:rPr>
      </w:pPr>
      <w:r>
        <w:rPr>
          <w:sz w:val="20"/>
          <w:szCs w:val="20"/>
        </w:rPr>
        <w:t xml:space="preserve"> John </w:t>
      </w:r>
      <w:r w:rsidRPr="00B12082">
        <w:rPr>
          <w:sz w:val="20"/>
          <w:szCs w:val="20"/>
          <w:u w:val="single"/>
        </w:rPr>
        <w:t>shouted</w:t>
      </w:r>
      <w:r>
        <w:rPr>
          <w:sz w:val="20"/>
          <w:szCs w:val="20"/>
        </w:rPr>
        <w:t>, “Hey! Don’t get too close to the alligators!”  (synonym: yelled, screamed)</w:t>
      </w:r>
    </w:p>
    <w:p w:rsidR="00C84E37" w:rsidRDefault="00C84E37" w:rsidP="00C84E37">
      <w:pPr>
        <w:pStyle w:val="PlainText"/>
        <w:numPr>
          <w:ilvl w:val="0"/>
          <w:numId w:val="2"/>
        </w:numPr>
        <w:rPr>
          <w:sz w:val="20"/>
          <w:szCs w:val="20"/>
        </w:rPr>
      </w:pPr>
      <w:r>
        <w:rPr>
          <w:sz w:val="20"/>
          <w:szCs w:val="20"/>
        </w:rPr>
        <w:t xml:space="preserve">Mary felt </w:t>
      </w:r>
      <w:r w:rsidRPr="00B12082">
        <w:rPr>
          <w:sz w:val="20"/>
          <w:szCs w:val="20"/>
          <w:u w:val="single"/>
        </w:rPr>
        <w:t>joyful</w:t>
      </w:r>
      <w:r>
        <w:rPr>
          <w:sz w:val="20"/>
          <w:szCs w:val="20"/>
        </w:rPr>
        <w:t xml:space="preserve"> when her sister surprised her for her birthday. (synonym: elated, happy)</w:t>
      </w:r>
    </w:p>
    <w:p w:rsidR="00C84E37" w:rsidRPr="002F6F05" w:rsidRDefault="00C84E37" w:rsidP="00C84E37">
      <w:pPr>
        <w:pStyle w:val="PlainText"/>
        <w:numPr>
          <w:ilvl w:val="0"/>
          <w:numId w:val="2"/>
        </w:numPr>
        <w:rPr>
          <w:sz w:val="20"/>
          <w:szCs w:val="20"/>
        </w:rPr>
      </w:pPr>
      <w:r>
        <w:rPr>
          <w:sz w:val="20"/>
          <w:szCs w:val="20"/>
        </w:rPr>
        <w:t xml:space="preserve"> The teacher said, “You may </w:t>
      </w:r>
      <w:r w:rsidRPr="006D4544">
        <w:rPr>
          <w:sz w:val="20"/>
          <w:szCs w:val="20"/>
          <w:u w:val="single"/>
        </w:rPr>
        <w:t>start</w:t>
      </w:r>
      <w:r>
        <w:rPr>
          <w:sz w:val="20"/>
          <w:szCs w:val="20"/>
        </w:rPr>
        <w:t xml:space="preserve"> your test now.”  (synonym: begin)</w:t>
      </w:r>
    </w:p>
    <w:p w:rsidR="00C84E37" w:rsidRDefault="00C84E37" w:rsidP="00C84E37">
      <w:pPr>
        <w:pStyle w:val="PlainText"/>
        <w:ind w:left="360"/>
        <w:rPr>
          <w:sz w:val="20"/>
          <w:szCs w:val="20"/>
        </w:rPr>
      </w:pPr>
    </w:p>
    <w:p w:rsidR="00C84E37" w:rsidRDefault="00C84E37" w:rsidP="00C84E37">
      <w:pPr>
        <w:pStyle w:val="PlainText"/>
        <w:ind w:left="360"/>
        <w:rPr>
          <w:sz w:val="20"/>
          <w:szCs w:val="20"/>
        </w:rPr>
      </w:pPr>
      <w:r w:rsidRPr="00934B2C">
        <w:rPr>
          <w:b/>
          <w:sz w:val="20"/>
          <w:szCs w:val="20"/>
        </w:rPr>
        <w:t>After Reading</w:t>
      </w:r>
      <w:r>
        <w:rPr>
          <w:sz w:val="20"/>
          <w:szCs w:val="20"/>
        </w:rPr>
        <w:t xml:space="preserve">: Thank you for reading so smoothly today! I’ve noticed you are using many habits that great readers use.  For example, you… (explain good reading behaviors you noticed, i.e. sounding out tricky words, stopping to look at pictures, pausing to think and jot).  Remember, thinking of synonyms and antonyms while you read can be helpful in understanding your book.  </w:t>
      </w:r>
    </w:p>
    <w:p w:rsidR="00C84E37" w:rsidRDefault="00C84E37" w:rsidP="00C84E37">
      <w:pPr>
        <w:pStyle w:val="PlainText"/>
        <w:ind w:left="360"/>
        <w:rPr>
          <w:b/>
          <w:sz w:val="20"/>
          <w:szCs w:val="20"/>
        </w:rPr>
      </w:pPr>
    </w:p>
    <w:p w:rsidR="00C84E37" w:rsidRDefault="00C84E37" w:rsidP="00C84E37">
      <w:pPr>
        <w:pStyle w:val="PlainText"/>
        <w:ind w:left="360"/>
        <w:rPr>
          <w:sz w:val="20"/>
          <w:szCs w:val="20"/>
        </w:rPr>
      </w:pPr>
      <w:r>
        <w:rPr>
          <w:b/>
          <w:sz w:val="20"/>
          <w:szCs w:val="20"/>
        </w:rPr>
        <w:t xml:space="preserve">Closing:  </w:t>
      </w:r>
      <w:r w:rsidRPr="0003060D">
        <w:rPr>
          <w:sz w:val="20"/>
          <w:szCs w:val="20"/>
        </w:rPr>
        <w:t xml:space="preserve">Thank you for working with me today. I enjoyed our time together and I am so proud of the work you are sharing with me. I will return next </w:t>
      </w:r>
      <w:r w:rsidRPr="0003060D">
        <w:rPr>
          <w:sz w:val="20"/>
          <w:szCs w:val="20"/>
          <w:u w:val="single"/>
        </w:rPr>
        <w:t>(day of the week)</w:t>
      </w:r>
      <w:r w:rsidRPr="0003060D">
        <w:rPr>
          <w:sz w:val="20"/>
          <w:szCs w:val="20"/>
        </w:rPr>
        <w:t xml:space="preserve"> to work with you. Please remember the following:</w:t>
      </w:r>
    </w:p>
    <w:p w:rsidR="00C84E37" w:rsidRPr="00F10805" w:rsidRDefault="00C84E37" w:rsidP="00C84E37">
      <w:pPr>
        <w:pStyle w:val="PlainText"/>
        <w:ind w:left="360"/>
        <w:rPr>
          <w:sz w:val="20"/>
          <w:szCs w:val="20"/>
        </w:rPr>
      </w:pPr>
    </w:p>
    <w:p w:rsidR="00C84E37" w:rsidRPr="0003060D" w:rsidRDefault="00C84E37" w:rsidP="00C84E37">
      <w:pPr>
        <w:pStyle w:val="PlainText"/>
        <w:numPr>
          <w:ilvl w:val="0"/>
          <w:numId w:val="1"/>
        </w:numPr>
        <w:rPr>
          <w:sz w:val="20"/>
          <w:szCs w:val="20"/>
        </w:rPr>
      </w:pPr>
      <w:r w:rsidRPr="0003060D">
        <w:rPr>
          <w:sz w:val="20"/>
          <w:szCs w:val="20"/>
        </w:rPr>
        <w:t>Fill out the teacher/mentor communication log</w:t>
      </w:r>
    </w:p>
    <w:p w:rsidR="00C84E37" w:rsidRPr="0003060D" w:rsidRDefault="00C84E37" w:rsidP="00C84E37">
      <w:pPr>
        <w:pStyle w:val="PlainText"/>
        <w:numPr>
          <w:ilvl w:val="0"/>
          <w:numId w:val="1"/>
        </w:numPr>
        <w:rPr>
          <w:sz w:val="20"/>
          <w:szCs w:val="20"/>
        </w:rPr>
      </w:pPr>
      <w:r w:rsidRPr="0003060D">
        <w:rPr>
          <w:sz w:val="20"/>
          <w:szCs w:val="20"/>
        </w:rPr>
        <w:t xml:space="preserve">Check the school calendar for upcoming events </w:t>
      </w:r>
    </w:p>
    <w:p w:rsidR="00C84E37" w:rsidRPr="0003060D" w:rsidRDefault="00C84E37" w:rsidP="00C84E37">
      <w:pPr>
        <w:pStyle w:val="PlainText"/>
        <w:numPr>
          <w:ilvl w:val="0"/>
          <w:numId w:val="1"/>
        </w:numPr>
        <w:rPr>
          <w:sz w:val="20"/>
          <w:szCs w:val="20"/>
        </w:rPr>
      </w:pPr>
      <w:r w:rsidRPr="0003060D">
        <w:rPr>
          <w:sz w:val="20"/>
          <w:szCs w:val="20"/>
        </w:rPr>
        <w:t>Check your personal calendar to determine scheduling conflicts. Remember, students are eager await your arrival and their mentoring time with you.</w:t>
      </w:r>
    </w:p>
    <w:p w:rsidR="00C84E37" w:rsidRDefault="00C84E37" w:rsidP="00C84E37">
      <w:pPr>
        <w:pStyle w:val="PlainText"/>
        <w:numPr>
          <w:ilvl w:val="0"/>
          <w:numId w:val="1"/>
        </w:numPr>
        <w:rPr>
          <w:sz w:val="20"/>
          <w:szCs w:val="20"/>
        </w:rPr>
      </w:pPr>
      <w:r w:rsidRPr="0003060D">
        <w:rPr>
          <w:sz w:val="20"/>
          <w:szCs w:val="20"/>
        </w:rPr>
        <w:t>If you have any questions or concern, please share them with a school employee (teacher, counselor, assistant principal or principal, etc.) before leaving the building.</w:t>
      </w:r>
    </w:p>
    <w:p w:rsidR="00C84E37" w:rsidRDefault="00C84E37" w:rsidP="00C84E37">
      <w:pPr>
        <w:pStyle w:val="PlainText"/>
        <w:ind w:left="360"/>
        <w:rPr>
          <w:sz w:val="20"/>
          <w:szCs w:val="20"/>
        </w:rPr>
      </w:pPr>
      <w:r>
        <w:rPr>
          <w:sz w:val="20"/>
          <w:szCs w:val="20"/>
        </w:rPr>
        <w:tab/>
        <w:t xml:space="preserve"> </w:t>
      </w:r>
    </w:p>
    <w:p w:rsidR="00A74F33" w:rsidRDefault="00331589">
      <w:bookmarkStart w:id="0" w:name="_GoBack"/>
      <w:bookmarkEnd w:id="0"/>
    </w:p>
    <w:sectPr w:rsidR="00A74F33" w:rsidSect="00C84E37">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917D68"/>
    <w:multiLevelType w:val="hybridMultilevel"/>
    <w:tmpl w:val="B80676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A3130B9"/>
    <w:multiLevelType w:val="hybridMultilevel"/>
    <w:tmpl w:val="42788808"/>
    <w:lvl w:ilvl="0" w:tplc="32007E3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20"/>
  <w:characterSpacingControl w:val="doNotCompress"/>
  <w:compat/>
  <w:rsids>
    <w:rsidRoot w:val="00C84E37"/>
    <w:rsid w:val="00110A2F"/>
    <w:rsid w:val="00331589"/>
    <w:rsid w:val="00347E72"/>
    <w:rsid w:val="00C84E37"/>
    <w:rsid w:val="00E665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E3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84E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C84E37"/>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C84E37"/>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E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84E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C84E37"/>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C84E37"/>
    <w:rPr>
      <w:rFonts w:ascii="Calibri" w:hAnsi="Calibri"/>
      <w:szCs w:val="21"/>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454</Words>
  <Characters>2589</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Charlotte-Mecklenburg Schools</Company>
  <LinksUpToDate>false</LinksUpToDate>
  <CharactersWithSpaces>3037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Nickens, Mary A.</dc:creator>
  <cp:lastModifiedBy>Windows User</cp:lastModifiedBy>
  <cp:revision>2</cp:revision>
  <dcterms:created xsi:type="dcterms:W3CDTF">2015-07-20T20:30:00Z</dcterms:created>
  <dcterms:modified xsi:type="dcterms:W3CDTF">2015-07-20T20:30:00Z</dcterms:modified>
</cp:coreProperties>
</file>