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449"/>
        <w:tblW w:w="0" w:type="auto"/>
        <w:tblLook w:val="04A0" w:firstRow="1" w:lastRow="0" w:firstColumn="1" w:lastColumn="0" w:noHBand="0" w:noVBand="1"/>
      </w:tblPr>
      <w:tblGrid>
        <w:gridCol w:w="9350"/>
      </w:tblGrid>
      <w:tr w:rsidR="00EF33D4" w:rsidTr="00EF33D4">
        <w:tc>
          <w:tcPr>
            <w:tcW w:w="9350" w:type="dxa"/>
          </w:tcPr>
          <w:p w:rsidR="00EF33D4" w:rsidRPr="008B153A" w:rsidRDefault="00EF33D4" w:rsidP="00EF33D4">
            <w:r w:rsidRPr="008B153A">
              <w:rPr>
                <w:b/>
              </w:rPr>
              <w:t>Focus:</w:t>
            </w:r>
            <w:r>
              <w:rPr>
                <w:b/>
              </w:rPr>
              <w:t xml:space="preserve">  Getting the Point!!!</w:t>
            </w:r>
          </w:p>
          <w:p w:rsidR="00EF33D4" w:rsidRDefault="00EF33D4" w:rsidP="00EF33D4">
            <w:r>
              <w:t>Central Ideas/Main Ideas and Supporting Details</w:t>
            </w:r>
          </w:p>
          <w:p w:rsidR="00EF33D4" w:rsidRDefault="00EF33D4" w:rsidP="00EF33D4"/>
          <w:p w:rsidR="00EF33D4" w:rsidRPr="00F1386D" w:rsidRDefault="00EF33D4" w:rsidP="00EF33D4">
            <w:r w:rsidRPr="008B153A">
              <w:rPr>
                <w:b/>
              </w:rPr>
              <w:t>Materials:</w:t>
            </w:r>
            <w:r>
              <w:rPr>
                <w:b/>
              </w:rPr>
              <w:t xml:space="preserve">  </w:t>
            </w:r>
            <w:r w:rsidRPr="00F1386D">
              <w:t>copies of student notes, graphic organizer, and passages, highlighters, pen/pencil</w:t>
            </w:r>
            <w:r>
              <w:t>, glue stick</w:t>
            </w:r>
          </w:p>
          <w:p w:rsidR="00EF33D4" w:rsidRDefault="00EF33D4" w:rsidP="00EF33D4"/>
        </w:tc>
      </w:tr>
      <w:tr w:rsidR="00EF33D4" w:rsidRPr="008B153A" w:rsidTr="00EF33D4">
        <w:tc>
          <w:tcPr>
            <w:tcW w:w="9350" w:type="dxa"/>
          </w:tcPr>
          <w:p w:rsidR="00EF33D4" w:rsidRDefault="00EF33D4" w:rsidP="00EF33D4">
            <w:pPr>
              <w:rPr>
                <w:b/>
              </w:rPr>
            </w:pPr>
            <w:r w:rsidRPr="008B153A">
              <w:rPr>
                <w:b/>
              </w:rPr>
              <w:t>Before Reading:</w:t>
            </w:r>
            <w:r>
              <w:rPr>
                <w:b/>
              </w:rPr>
              <w:t xml:space="preserve">  </w:t>
            </w:r>
          </w:p>
          <w:p w:rsidR="00EF33D4" w:rsidRPr="005D2F0F" w:rsidRDefault="00EF33D4" w:rsidP="00EF33D4">
            <w:pPr>
              <w:pStyle w:val="ListParagraph"/>
              <w:numPr>
                <w:ilvl w:val="0"/>
                <w:numId w:val="8"/>
              </w:numPr>
              <w:rPr>
                <w:b/>
                <w:u w:val="single"/>
              </w:rPr>
            </w:pPr>
            <w:r w:rsidRPr="005D2F0F">
              <w:rPr>
                <w:i/>
              </w:rPr>
              <w:t xml:space="preserve">Cut the student notes apart from the graphic organizer.  Have scholars glue a copy of the student notes in their journal.  Take turns reading the notes together.  Have scholars highlight the key terms.  </w:t>
            </w:r>
          </w:p>
          <w:p w:rsidR="00EF33D4" w:rsidRPr="00F1386D" w:rsidRDefault="00EF33D4" w:rsidP="00EF33D4">
            <w:pPr>
              <w:pStyle w:val="ListParagraph"/>
              <w:rPr>
                <w:b/>
                <w:u w:val="single"/>
              </w:rPr>
            </w:pPr>
          </w:p>
          <w:p w:rsidR="00EF33D4" w:rsidRPr="00F1386D" w:rsidRDefault="00EF33D4" w:rsidP="00EF33D4">
            <w:pPr>
              <w:rPr>
                <w:b/>
                <w:u w:val="single"/>
              </w:rPr>
            </w:pPr>
            <w:r w:rsidRPr="00F1386D">
              <w:rPr>
                <w:b/>
                <w:u w:val="single"/>
              </w:rPr>
              <w:t>Student Notes:</w:t>
            </w:r>
          </w:p>
          <w:p w:rsidR="00EF33D4" w:rsidRPr="00FF10D2" w:rsidRDefault="00EF33D4" w:rsidP="00EF33D4">
            <w:pPr>
              <w:autoSpaceDE w:val="0"/>
              <w:autoSpaceDN w:val="0"/>
              <w:adjustRightInd w:val="0"/>
              <w:rPr>
                <w:rFonts w:cs="Times New Roman"/>
                <w:bCs/>
                <w:sz w:val="28"/>
                <w:szCs w:val="20"/>
              </w:rPr>
            </w:pPr>
            <w:r w:rsidRPr="00FF10D2">
              <w:rPr>
                <w:rFonts w:cs="Times New Roman"/>
                <w:bCs/>
                <w:sz w:val="28"/>
                <w:szCs w:val="20"/>
              </w:rPr>
              <w:t xml:space="preserve">The </w:t>
            </w:r>
            <w:r w:rsidRPr="00FF10D2">
              <w:rPr>
                <w:rFonts w:cs="Times New Roman"/>
                <w:b/>
                <w:bCs/>
                <w:sz w:val="28"/>
                <w:szCs w:val="20"/>
              </w:rPr>
              <w:t>central idea</w:t>
            </w:r>
            <w:r w:rsidRPr="00FF10D2">
              <w:rPr>
                <w:rFonts w:cs="Times New Roman"/>
                <w:bCs/>
                <w:sz w:val="28"/>
                <w:szCs w:val="20"/>
              </w:rPr>
              <w:t xml:space="preserve"> is often referred to as the </w:t>
            </w:r>
            <w:r w:rsidRPr="00FF10D2">
              <w:rPr>
                <w:rFonts w:cs="Times New Roman"/>
                <w:b/>
                <w:bCs/>
                <w:sz w:val="28"/>
                <w:szCs w:val="20"/>
              </w:rPr>
              <w:t>main idea</w:t>
            </w:r>
            <w:r w:rsidRPr="00FF10D2">
              <w:rPr>
                <w:rFonts w:cs="Times New Roman"/>
                <w:bCs/>
                <w:sz w:val="28"/>
                <w:szCs w:val="20"/>
              </w:rPr>
              <w:t xml:space="preserve">.  </w:t>
            </w:r>
          </w:p>
          <w:p w:rsidR="00EF33D4" w:rsidRPr="00FF10D2" w:rsidRDefault="00EF33D4" w:rsidP="00EF33D4">
            <w:pPr>
              <w:autoSpaceDE w:val="0"/>
              <w:autoSpaceDN w:val="0"/>
              <w:adjustRightInd w:val="0"/>
              <w:rPr>
                <w:rFonts w:cs="Times New Roman"/>
                <w:bCs/>
                <w:szCs w:val="20"/>
              </w:rPr>
            </w:pPr>
          </w:p>
          <w:p w:rsidR="00EF33D4" w:rsidRPr="00FF10D2" w:rsidRDefault="00EF33D4" w:rsidP="00EF33D4">
            <w:pPr>
              <w:pStyle w:val="ListParagraph"/>
              <w:numPr>
                <w:ilvl w:val="0"/>
                <w:numId w:val="4"/>
              </w:numPr>
              <w:autoSpaceDE w:val="0"/>
              <w:autoSpaceDN w:val="0"/>
              <w:adjustRightInd w:val="0"/>
              <w:rPr>
                <w:rFonts w:cs="Times New Roman"/>
                <w:bCs/>
                <w:szCs w:val="20"/>
              </w:rPr>
            </w:pPr>
            <w:r w:rsidRPr="00FF10D2">
              <w:rPr>
                <w:rFonts w:cs="Times New Roman"/>
                <w:bCs/>
                <w:szCs w:val="20"/>
              </w:rPr>
              <w:t xml:space="preserve">The </w:t>
            </w:r>
            <w:r w:rsidRPr="00FF10D2">
              <w:rPr>
                <w:rFonts w:cs="Times New Roman"/>
                <w:b/>
                <w:bCs/>
                <w:szCs w:val="20"/>
              </w:rPr>
              <w:t>central idea</w:t>
            </w:r>
            <w:r w:rsidRPr="00FF10D2">
              <w:rPr>
                <w:rFonts w:cs="Times New Roman"/>
                <w:bCs/>
                <w:szCs w:val="20"/>
              </w:rPr>
              <w:t xml:space="preserve"> is the</w:t>
            </w:r>
            <w:r w:rsidRPr="00FF10D2">
              <w:rPr>
                <w:rFonts w:cs="Times New Roman"/>
                <w:szCs w:val="20"/>
              </w:rPr>
              <w:t xml:space="preserve"> most important idea in a paragraph or passage. </w:t>
            </w:r>
          </w:p>
          <w:p w:rsidR="00EF33D4" w:rsidRPr="00FF10D2" w:rsidRDefault="00EF33D4" w:rsidP="00EF33D4">
            <w:pPr>
              <w:autoSpaceDE w:val="0"/>
              <w:autoSpaceDN w:val="0"/>
              <w:adjustRightInd w:val="0"/>
              <w:rPr>
                <w:rFonts w:cs="Times New Roman"/>
                <w:szCs w:val="20"/>
              </w:rPr>
            </w:pPr>
          </w:p>
          <w:p w:rsidR="00EF33D4" w:rsidRPr="00FF10D2" w:rsidRDefault="00EF33D4" w:rsidP="00EF33D4">
            <w:pPr>
              <w:pStyle w:val="ListParagraph"/>
              <w:numPr>
                <w:ilvl w:val="0"/>
                <w:numId w:val="4"/>
              </w:numPr>
              <w:autoSpaceDE w:val="0"/>
              <w:autoSpaceDN w:val="0"/>
              <w:adjustRightInd w:val="0"/>
              <w:rPr>
                <w:rFonts w:cs="Times New Roman"/>
                <w:szCs w:val="20"/>
              </w:rPr>
            </w:pPr>
            <w:r w:rsidRPr="00FF10D2">
              <w:rPr>
                <w:rFonts w:cs="Times New Roman"/>
                <w:szCs w:val="20"/>
              </w:rPr>
              <w:t xml:space="preserve">All of the other information in the paragraph or passage supports or explains this central idea.  The supporting information is called the </w:t>
            </w:r>
            <w:r w:rsidRPr="00FF10D2">
              <w:rPr>
                <w:rFonts w:cs="Times New Roman"/>
                <w:b/>
                <w:szCs w:val="20"/>
              </w:rPr>
              <w:t>supporting details.</w:t>
            </w:r>
          </w:p>
          <w:p w:rsidR="00EF33D4" w:rsidRPr="00FF10D2" w:rsidRDefault="00EF33D4" w:rsidP="00EF33D4">
            <w:pPr>
              <w:pStyle w:val="ListParagraph"/>
              <w:rPr>
                <w:rFonts w:cs="Times New Roman"/>
                <w:szCs w:val="20"/>
              </w:rPr>
            </w:pPr>
          </w:p>
          <w:p w:rsidR="00EF33D4" w:rsidRPr="00FF10D2" w:rsidRDefault="00EF33D4" w:rsidP="00EF33D4">
            <w:pPr>
              <w:pStyle w:val="ListParagraph"/>
              <w:numPr>
                <w:ilvl w:val="0"/>
                <w:numId w:val="4"/>
              </w:numPr>
              <w:autoSpaceDE w:val="0"/>
              <w:autoSpaceDN w:val="0"/>
              <w:adjustRightInd w:val="0"/>
              <w:rPr>
                <w:rFonts w:cs="Times New Roman"/>
                <w:szCs w:val="20"/>
              </w:rPr>
            </w:pPr>
            <w:r w:rsidRPr="00FF10D2">
              <w:rPr>
                <w:rFonts w:cs="Times New Roman"/>
                <w:szCs w:val="20"/>
              </w:rPr>
              <w:t xml:space="preserve">The graphic organizer shows one way to record the </w:t>
            </w:r>
            <w:r w:rsidRPr="00FF10D2">
              <w:rPr>
                <w:rFonts w:cs="Times New Roman"/>
                <w:b/>
                <w:szCs w:val="20"/>
              </w:rPr>
              <w:t>central idea</w:t>
            </w:r>
            <w:r w:rsidRPr="00FF10D2">
              <w:rPr>
                <w:rFonts w:cs="Times New Roman"/>
                <w:szCs w:val="20"/>
              </w:rPr>
              <w:t xml:space="preserve"> and the </w:t>
            </w:r>
            <w:r w:rsidRPr="00FF10D2">
              <w:rPr>
                <w:rFonts w:cs="Times New Roman"/>
                <w:b/>
                <w:szCs w:val="20"/>
              </w:rPr>
              <w:t>supporting details</w:t>
            </w:r>
            <w:r w:rsidRPr="00FF10D2">
              <w:rPr>
                <w:rFonts w:cs="Times New Roman"/>
                <w:szCs w:val="20"/>
              </w:rPr>
              <w:t xml:space="preserve">.  </w:t>
            </w:r>
          </w:p>
          <w:p w:rsidR="00EF33D4" w:rsidRDefault="00EF33D4" w:rsidP="00EF33D4">
            <w:pPr>
              <w:pStyle w:val="ListParagraph"/>
              <w:rPr>
                <w:rFonts w:cs="Times New Roman"/>
                <w:szCs w:val="20"/>
              </w:rPr>
            </w:pPr>
          </w:p>
          <w:p w:rsidR="00EF33D4" w:rsidRPr="00F1386D" w:rsidRDefault="00EF33D4" w:rsidP="00EF33D4">
            <w:pPr>
              <w:rPr>
                <w:rFonts w:cs="Times New Roman"/>
                <w:szCs w:val="20"/>
              </w:rPr>
            </w:pPr>
          </w:p>
          <w:p w:rsidR="00EF33D4" w:rsidRPr="005D2F0F" w:rsidRDefault="00EF33D4" w:rsidP="00EF33D4">
            <w:pPr>
              <w:pStyle w:val="ListParagraph"/>
              <w:numPr>
                <w:ilvl w:val="0"/>
                <w:numId w:val="8"/>
              </w:numPr>
              <w:rPr>
                <w:b/>
              </w:rPr>
            </w:pPr>
            <w:r w:rsidRPr="005D2F0F">
              <w:rPr>
                <w:i/>
              </w:rPr>
              <w:t xml:space="preserve">After discussing the notes, have students glue the sample graphic organizer in their journal.  </w:t>
            </w:r>
          </w:p>
          <w:p w:rsidR="00EF33D4" w:rsidRDefault="00EF33D4" w:rsidP="00EF33D4">
            <w:pPr>
              <w:pStyle w:val="ListParagraph"/>
            </w:pPr>
            <w:r w:rsidRPr="00F1386D">
              <w:rPr>
                <w:b/>
              </w:rPr>
              <w:t xml:space="preserve">Say to scholars:  </w:t>
            </w:r>
            <w:r>
              <w:t xml:space="preserve">As we read the practice passage, we will record the central idea and the supporting details in this graphic organizer.  It is often called a main idea chart.  Remember, that a main idea is the same as a central idea.  </w:t>
            </w:r>
          </w:p>
          <w:p w:rsidR="00EF33D4" w:rsidRPr="00F1386D" w:rsidRDefault="00EF33D4" w:rsidP="00EF33D4">
            <w:pPr>
              <w:rPr>
                <w:b/>
              </w:rPr>
            </w:pPr>
          </w:p>
          <w:p w:rsidR="00EF33D4" w:rsidRPr="00F1386D" w:rsidRDefault="00EF33D4" w:rsidP="00EF33D4">
            <w:pPr>
              <w:autoSpaceDE w:val="0"/>
              <w:autoSpaceDN w:val="0"/>
              <w:adjustRightInd w:val="0"/>
              <w:rPr>
                <w:rFonts w:cs="Times New Roman"/>
                <w:b/>
                <w:szCs w:val="20"/>
                <w:u w:val="single"/>
              </w:rPr>
            </w:pPr>
            <w:r w:rsidRPr="00F1386D">
              <w:rPr>
                <w:rFonts w:cs="Times New Roman"/>
                <w:b/>
                <w:szCs w:val="20"/>
                <w:u w:val="single"/>
              </w:rPr>
              <w:t>Sample Graphic Organizer:</w:t>
            </w:r>
          </w:p>
          <w:p w:rsidR="00EF33D4" w:rsidRPr="00FF10D2" w:rsidRDefault="00EF33D4" w:rsidP="00EF33D4">
            <w:pPr>
              <w:autoSpaceDE w:val="0"/>
              <w:autoSpaceDN w:val="0"/>
              <w:adjustRightInd w:val="0"/>
              <w:jc w:val="center"/>
              <w:rPr>
                <w:rFonts w:cs="Times New Roman"/>
                <w:sz w:val="20"/>
                <w:szCs w:val="20"/>
              </w:rPr>
            </w:pPr>
            <w:r w:rsidRPr="00FF10D2">
              <w:rPr>
                <w:noProof/>
              </w:rPr>
              <w:drawing>
                <wp:inline distT="0" distB="0" distL="0" distR="0" wp14:anchorId="543517D2" wp14:editId="13DFBF0A">
                  <wp:extent cx="2895337" cy="1712794"/>
                  <wp:effectExtent l="0" t="0" r="635" b="1905"/>
                  <wp:docPr id="2" name="Picture 2" descr="https://1.bp.blogspot.com/---laIzEwN-g/Vi-yvGscgVI/AAAAAAAAACo/y4dgpplloIk/s1600/MainIdeaSupportingDetailsOrgan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laIzEwN-g/Vi-yvGscgVI/AAAAAAAAACo/y4dgpplloIk/s1600/MainIdeaSupportingDetailsOrganiz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1142" cy="1722144"/>
                          </a:xfrm>
                          <a:prstGeom prst="rect">
                            <a:avLst/>
                          </a:prstGeom>
                          <a:noFill/>
                          <a:ln>
                            <a:noFill/>
                          </a:ln>
                        </pic:spPr>
                      </pic:pic>
                    </a:graphicData>
                  </a:graphic>
                </wp:inline>
              </w:drawing>
            </w:r>
          </w:p>
          <w:p w:rsidR="00EF33D4" w:rsidRPr="005D2F0F" w:rsidRDefault="00EF33D4" w:rsidP="00EF33D4">
            <w:pPr>
              <w:pStyle w:val="ListParagraph"/>
              <w:rPr>
                <w:rFonts w:eastAsia="Times New Roman" w:cs="Arial"/>
              </w:rPr>
            </w:pPr>
          </w:p>
        </w:tc>
      </w:tr>
      <w:tr w:rsidR="00EF33D4" w:rsidRPr="008B153A" w:rsidTr="00EF33D4">
        <w:tc>
          <w:tcPr>
            <w:tcW w:w="9350" w:type="dxa"/>
          </w:tcPr>
          <w:p w:rsidR="00EF33D4" w:rsidRDefault="00EF33D4" w:rsidP="00EF33D4">
            <w:pPr>
              <w:rPr>
                <w:b/>
              </w:rPr>
            </w:pPr>
            <w:r w:rsidRPr="008B153A">
              <w:rPr>
                <w:b/>
              </w:rPr>
              <w:t>During Reading:</w:t>
            </w:r>
          </w:p>
          <w:p w:rsidR="00EF33D4" w:rsidRDefault="00EF33D4" w:rsidP="00EF33D4">
            <w:r w:rsidRPr="005D2F0F">
              <w:rPr>
                <w:b/>
              </w:rPr>
              <w:t>Say to scholars:</w:t>
            </w:r>
            <w:r>
              <w:t xml:space="preserve">  Glue the practice passage into your journal.  Let’s read the practice passage together.  </w:t>
            </w:r>
          </w:p>
          <w:p w:rsidR="00711B69" w:rsidRPr="00EF33D4" w:rsidRDefault="00711B69" w:rsidP="00EF33D4">
            <w:pPr>
              <w:rPr>
                <w:sz w:val="20"/>
                <w:szCs w:val="20"/>
              </w:rPr>
            </w:pPr>
          </w:p>
          <w:p w:rsidR="00EF33D4" w:rsidRPr="00EF33D4" w:rsidRDefault="00EF33D4" w:rsidP="00EF33D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sz w:val="20"/>
                <w:szCs w:val="20"/>
              </w:rPr>
            </w:pPr>
            <w:r w:rsidRPr="00EF33D4">
              <w:rPr>
                <w:rFonts w:ascii="Times New Roman" w:hAnsi="Times New Roman" w:cs="Times New Roman"/>
                <w:bCs/>
                <w:sz w:val="20"/>
                <w:szCs w:val="20"/>
              </w:rPr>
              <w:t xml:space="preserve">Advertising affects our lives </w:t>
            </w:r>
            <w:r w:rsidR="00711B69" w:rsidRPr="00EF33D4">
              <w:rPr>
                <w:rFonts w:ascii="Times New Roman" w:hAnsi="Times New Roman" w:cs="Times New Roman"/>
                <w:bCs/>
                <w:sz w:val="20"/>
                <w:szCs w:val="20"/>
              </w:rPr>
              <w:t>every day</w:t>
            </w:r>
            <w:r w:rsidRPr="00EF33D4">
              <w:rPr>
                <w:rFonts w:ascii="Times New Roman" w:hAnsi="Times New Roman" w:cs="Times New Roman"/>
                <w:bCs/>
                <w:sz w:val="20"/>
                <w:szCs w:val="20"/>
              </w:rPr>
              <w:t>. Brand names are common household words. We start each day using the toothpaste, soap, and breakfast foods promoted by advertisers. Ads have made the cars we drive signs of our success. Our choices of food, dress, and entertainment are swayed by ads. Not one aspect of American life is untouched by advertising.</w:t>
            </w:r>
          </w:p>
          <w:p w:rsidR="00EF33D4" w:rsidRDefault="00EF33D4" w:rsidP="00EF33D4">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sz w:val="16"/>
                <w:szCs w:val="24"/>
              </w:rPr>
            </w:pPr>
          </w:p>
          <w:p w:rsidR="00EF33D4" w:rsidRDefault="00EF33D4" w:rsidP="00EF33D4">
            <w:pPr>
              <w:pBdr>
                <w:top w:val="single" w:sz="4" w:space="1" w:color="auto"/>
                <w:left w:val="single" w:sz="4" w:space="4" w:color="auto"/>
                <w:bottom w:val="single" w:sz="4" w:space="1" w:color="auto"/>
                <w:right w:val="single" w:sz="4" w:space="4" w:color="auto"/>
              </w:pBdr>
              <w:autoSpaceDE w:val="0"/>
              <w:autoSpaceDN w:val="0"/>
              <w:adjustRightInd w:val="0"/>
              <w:rPr>
                <w:rFonts w:cs="Times New Roman"/>
                <w:sz w:val="24"/>
                <w:szCs w:val="20"/>
              </w:rPr>
            </w:pPr>
          </w:p>
          <w:p w:rsidR="00EF33D4" w:rsidRDefault="00EF33D4" w:rsidP="00EF33D4">
            <w:r w:rsidRPr="005D2F0F">
              <w:rPr>
                <w:b/>
              </w:rPr>
              <w:t>Say to scholars:</w:t>
            </w:r>
            <w:r>
              <w:t xml:space="preserve">  Look at the guiding questions from your student notes.  Let’s find the answers to the guiding questions.  </w:t>
            </w:r>
          </w:p>
          <w:p w:rsidR="00EF33D4" w:rsidRPr="005D2F0F" w:rsidRDefault="00EF33D4" w:rsidP="00EF33D4">
            <w:pPr>
              <w:autoSpaceDE w:val="0"/>
              <w:autoSpaceDN w:val="0"/>
              <w:adjustRightInd w:val="0"/>
              <w:rPr>
                <w:rFonts w:cs="SymbolMT"/>
              </w:rPr>
            </w:pPr>
          </w:p>
          <w:p w:rsidR="00EF33D4" w:rsidRPr="005D2F0F" w:rsidRDefault="00EF33D4" w:rsidP="00EF33D4">
            <w:pPr>
              <w:autoSpaceDE w:val="0"/>
              <w:autoSpaceDN w:val="0"/>
              <w:adjustRightInd w:val="0"/>
              <w:rPr>
                <w:rFonts w:cs="Times New Roman"/>
                <w:b/>
                <w:u w:val="single"/>
              </w:rPr>
            </w:pPr>
            <w:r w:rsidRPr="005D2F0F">
              <w:rPr>
                <w:rFonts w:cs="Times New Roman"/>
                <w:b/>
                <w:u w:val="single"/>
              </w:rPr>
              <w:t>Ask these questions to help you find the central idea.</w:t>
            </w:r>
          </w:p>
          <w:p w:rsidR="00EF33D4" w:rsidRPr="005D2F0F" w:rsidRDefault="00EF33D4" w:rsidP="00EF33D4">
            <w:pPr>
              <w:pStyle w:val="ListParagraph"/>
              <w:numPr>
                <w:ilvl w:val="0"/>
                <w:numId w:val="5"/>
              </w:numPr>
              <w:rPr>
                <w:rFonts w:eastAsia="Times New Roman" w:cs="Arial"/>
              </w:rPr>
            </w:pPr>
            <w:r w:rsidRPr="005D2F0F">
              <w:rPr>
                <w:rFonts w:cs="Times New Roman"/>
              </w:rPr>
              <w:t>Who or what is the paragraph or passage about?  (What is the topic?)</w:t>
            </w:r>
            <w:r w:rsidRPr="005D2F0F">
              <w:rPr>
                <w:rFonts w:eastAsia="Times New Roman" w:cs="Arial"/>
              </w:rPr>
              <w:t xml:space="preserve"> </w:t>
            </w:r>
          </w:p>
          <w:p w:rsidR="00EF33D4" w:rsidRPr="005D2F0F" w:rsidRDefault="00EF33D4" w:rsidP="00EF33D4">
            <w:pPr>
              <w:pStyle w:val="ListParagraph"/>
              <w:numPr>
                <w:ilvl w:val="0"/>
                <w:numId w:val="5"/>
              </w:numPr>
              <w:rPr>
                <w:rFonts w:eastAsia="Times New Roman" w:cs="Arial"/>
              </w:rPr>
            </w:pPr>
            <w:r w:rsidRPr="005D2F0F">
              <w:rPr>
                <w:rFonts w:cs="Times New Roman"/>
              </w:rPr>
              <w:t>What idea about the ‘who’ or ‘what’ is the author concerned with?  (What is the author trying to tell you about this topic?)</w:t>
            </w:r>
          </w:p>
          <w:p w:rsidR="00EF33D4" w:rsidRPr="005D2F0F" w:rsidRDefault="00EF33D4" w:rsidP="00EF33D4">
            <w:pPr>
              <w:pStyle w:val="ListParagraph"/>
              <w:numPr>
                <w:ilvl w:val="0"/>
                <w:numId w:val="5"/>
              </w:numPr>
              <w:rPr>
                <w:rFonts w:eastAsia="Times New Roman" w:cs="Arial"/>
              </w:rPr>
            </w:pPr>
            <w:r w:rsidRPr="005D2F0F">
              <w:rPr>
                <w:rFonts w:eastAsia="Times New Roman" w:cs="Arial"/>
              </w:rPr>
              <w:t>What is the overall point or argument being made by the author about the topic of this paragraph?</w:t>
            </w:r>
          </w:p>
          <w:p w:rsidR="00EF33D4" w:rsidRDefault="00EF33D4" w:rsidP="00EF33D4"/>
          <w:p w:rsidR="00EF33D4" w:rsidRDefault="00EF33D4" w:rsidP="00EF33D4">
            <w:r w:rsidRPr="005D2F0F">
              <w:rPr>
                <w:b/>
              </w:rPr>
              <w:t>Say to scholars:</w:t>
            </w:r>
            <w:r>
              <w:t xml:space="preserve">  </w:t>
            </w:r>
          </w:p>
          <w:p w:rsidR="00EF33D4" w:rsidRDefault="00EF33D4" w:rsidP="00EF33D4">
            <w:pPr>
              <w:pStyle w:val="ListParagraph"/>
              <w:numPr>
                <w:ilvl w:val="0"/>
                <w:numId w:val="10"/>
              </w:numPr>
            </w:pPr>
            <w:r>
              <w:t xml:space="preserve">Highlight the central idea green and write Central Idea in the margin.  </w:t>
            </w:r>
          </w:p>
          <w:p w:rsidR="00EF33D4" w:rsidRDefault="00EF33D4" w:rsidP="00EF33D4">
            <w:pPr>
              <w:pStyle w:val="ListParagraph"/>
              <w:numPr>
                <w:ilvl w:val="0"/>
                <w:numId w:val="10"/>
              </w:numPr>
            </w:pPr>
            <w:r>
              <w:t xml:space="preserve">Highlight the supporting details </w:t>
            </w:r>
            <w:r w:rsidR="00711B69">
              <w:t xml:space="preserve">(SD) </w:t>
            </w:r>
            <w:bookmarkStart w:id="0" w:name="_GoBack"/>
            <w:bookmarkEnd w:id="0"/>
            <w:r>
              <w:t xml:space="preserve">in yellow.  Label SD in the margin.  </w:t>
            </w:r>
          </w:p>
          <w:p w:rsidR="00EF33D4" w:rsidRDefault="00EF33D4" w:rsidP="00EF33D4">
            <w:pPr>
              <w:pStyle w:val="ListParagraph"/>
              <w:numPr>
                <w:ilvl w:val="0"/>
                <w:numId w:val="10"/>
              </w:numPr>
            </w:pPr>
            <w:r>
              <w:t>Now write the information in the corresponding sections of your graphic organizer.</w:t>
            </w:r>
          </w:p>
          <w:p w:rsidR="00EF33D4" w:rsidRDefault="00EF33D4" w:rsidP="00EF33D4"/>
          <w:p w:rsidR="00EF33D4" w:rsidRDefault="00EF33D4" w:rsidP="00EF33D4">
            <w:r>
              <w:t>*Several passages are included in the resources as time allows for additional practice.</w:t>
            </w:r>
          </w:p>
          <w:p w:rsidR="00EF33D4" w:rsidRPr="008B153A" w:rsidRDefault="00EF33D4" w:rsidP="00EF33D4">
            <w:pPr>
              <w:pStyle w:val="ListParagraph"/>
            </w:pPr>
          </w:p>
        </w:tc>
      </w:tr>
      <w:tr w:rsidR="00EF33D4" w:rsidRPr="008B153A" w:rsidTr="00EF33D4">
        <w:tc>
          <w:tcPr>
            <w:tcW w:w="9350" w:type="dxa"/>
          </w:tcPr>
          <w:p w:rsidR="00EF33D4" w:rsidRDefault="00EF33D4" w:rsidP="00EF33D4">
            <w:pPr>
              <w:rPr>
                <w:b/>
              </w:rPr>
            </w:pPr>
            <w:r w:rsidRPr="008B153A">
              <w:rPr>
                <w:b/>
              </w:rPr>
              <w:lastRenderedPageBreak/>
              <w:t>After Reading:</w:t>
            </w:r>
            <w:r>
              <w:rPr>
                <w:b/>
              </w:rPr>
              <w:t xml:space="preserve">  </w:t>
            </w:r>
          </w:p>
          <w:p w:rsidR="00EF33D4" w:rsidRPr="005D2F0F" w:rsidRDefault="00EF33D4" w:rsidP="00EF33D4">
            <w:pPr>
              <w:pStyle w:val="ListParagraph"/>
              <w:numPr>
                <w:ilvl w:val="0"/>
                <w:numId w:val="11"/>
              </w:numPr>
            </w:pPr>
            <w:r w:rsidRPr="005D2F0F">
              <w:t xml:space="preserve">What is the most important thing to know about central ideas?  </w:t>
            </w:r>
          </w:p>
          <w:p w:rsidR="00EF33D4" w:rsidRPr="005D2F0F" w:rsidRDefault="00EF33D4" w:rsidP="00EF33D4">
            <w:pPr>
              <w:pStyle w:val="ListParagraph"/>
              <w:numPr>
                <w:ilvl w:val="0"/>
                <w:numId w:val="11"/>
              </w:numPr>
            </w:pPr>
            <w:r w:rsidRPr="005D2F0F">
              <w:t xml:space="preserve">What questions should we ask ourselves when we read informational texts?  </w:t>
            </w:r>
          </w:p>
          <w:p w:rsidR="00EF33D4" w:rsidRPr="008B153A" w:rsidRDefault="00EF33D4" w:rsidP="00EF33D4">
            <w:pPr>
              <w:rPr>
                <w:b/>
              </w:rPr>
            </w:pPr>
          </w:p>
        </w:tc>
      </w:tr>
      <w:tr w:rsidR="00EF33D4" w:rsidRPr="008B153A" w:rsidTr="00EF33D4">
        <w:tc>
          <w:tcPr>
            <w:tcW w:w="9350" w:type="dxa"/>
          </w:tcPr>
          <w:p w:rsidR="00EF33D4" w:rsidRDefault="00EF33D4" w:rsidP="00EF33D4">
            <w:pPr>
              <w:rPr>
                <w:b/>
              </w:rPr>
            </w:pPr>
            <w:r>
              <w:rPr>
                <w:b/>
              </w:rPr>
              <w:t xml:space="preserve">  Wrapping Up</w:t>
            </w:r>
            <w:r w:rsidRPr="008B153A">
              <w:rPr>
                <w:b/>
              </w:rPr>
              <w:t>:</w:t>
            </w:r>
            <w:r>
              <w:rPr>
                <w:b/>
              </w:rPr>
              <w:t xml:space="preserve">  </w:t>
            </w:r>
          </w:p>
          <w:p w:rsidR="00EF33D4" w:rsidRPr="005C45CB" w:rsidRDefault="00EF33D4" w:rsidP="00EF33D4">
            <w:pPr>
              <w:pStyle w:val="ListParagraph"/>
              <w:numPr>
                <w:ilvl w:val="0"/>
                <w:numId w:val="2"/>
              </w:numPr>
            </w:pPr>
            <w:r w:rsidRPr="005C45CB">
              <w:t>Complete North Star forms.</w:t>
            </w:r>
          </w:p>
          <w:p w:rsidR="00EF33D4" w:rsidRPr="005C45CB" w:rsidRDefault="00EF33D4" w:rsidP="00EF33D4">
            <w:pPr>
              <w:pStyle w:val="ListParagraph"/>
              <w:numPr>
                <w:ilvl w:val="0"/>
                <w:numId w:val="2"/>
              </w:numPr>
            </w:pPr>
            <w:r w:rsidRPr="005C45CB">
              <w:t>Gather and store materials.</w:t>
            </w:r>
          </w:p>
          <w:p w:rsidR="00EF33D4" w:rsidRPr="005C45CB" w:rsidRDefault="00EF33D4" w:rsidP="00EF33D4">
            <w:pPr>
              <w:pStyle w:val="ListParagraph"/>
              <w:numPr>
                <w:ilvl w:val="0"/>
                <w:numId w:val="2"/>
              </w:numPr>
            </w:pPr>
            <w:r w:rsidRPr="005C45CB">
              <w:t>Read lesson #</w:t>
            </w:r>
            <w:r>
              <w:t>8</w:t>
            </w:r>
            <w:r w:rsidRPr="005C45CB">
              <w:t xml:space="preserve"> for the next sess</w:t>
            </w:r>
            <w:r>
              <w:t>i</w:t>
            </w:r>
            <w:r w:rsidRPr="005C45CB">
              <w:t>on.</w:t>
            </w:r>
          </w:p>
          <w:p w:rsidR="00EF33D4" w:rsidRPr="008B153A" w:rsidRDefault="00EF33D4" w:rsidP="00EF33D4"/>
        </w:tc>
      </w:tr>
    </w:tbl>
    <w:p w:rsidR="00B53396" w:rsidRPr="008B153A" w:rsidRDefault="00711B69" w:rsidP="00F1386D">
      <w:pPr>
        <w:rPr>
          <w:b/>
          <w:i/>
        </w:rPr>
      </w:pPr>
    </w:p>
    <w:sectPr w:rsidR="00B53396" w:rsidRPr="008B15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170F49">
      <w:rPr>
        <w:b/>
        <w:i/>
        <w:sz w:val="3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2001"/>
    <w:multiLevelType w:val="multilevel"/>
    <w:tmpl w:val="0902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531B2"/>
    <w:multiLevelType w:val="hybridMultilevel"/>
    <w:tmpl w:val="9FD8AB90"/>
    <w:lvl w:ilvl="0" w:tplc="5BBE0A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13798"/>
    <w:multiLevelType w:val="hybridMultilevel"/>
    <w:tmpl w:val="FE64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1377E"/>
    <w:multiLevelType w:val="hybridMultilevel"/>
    <w:tmpl w:val="9FD8AB90"/>
    <w:lvl w:ilvl="0" w:tplc="5BBE0A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A5A20"/>
    <w:multiLevelType w:val="hybridMultilevel"/>
    <w:tmpl w:val="900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15DFE"/>
    <w:multiLevelType w:val="hybridMultilevel"/>
    <w:tmpl w:val="24F8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D7636"/>
    <w:multiLevelType w:val="hybridMultilevel"/>
    <w:tmpl w:val="7B8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C713F"/>
    <w:multiLevelType w:val="hybridMultilevel"/>
    <w:tmpl w:val="79261E66"/>
    <w:lvl w:ilvl="0" w:tplc="F0E4E9EA">
      <w:start w:val="1"/>
      <w:numFmt w:val="decimal"/>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A86D1F"/>
    <w:multiLevelType w:val="hybridMultilevel"/>
    <w:tmpl w:val="F3048A8A"/>
    <w:lvl w:ilvl="0" w:tplc="F37EB76A">
      <w:start w:val="1"/>
      <w:numFmt w:val="decimal"/>
      <w:lvlText w:val="%1."/>
      <w:lvlJc w:val="left"/>
      <w:pPr>
        <w:ind w:left="720" w:hanging="360"/>
      </w:pPr>
      <w:rPr>
        <w:rFonts w:eastAsia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10"/>
  </w:num>
  <w:num w:numId="6">
    <w:abstractNumId w:val="1"/>
  </w:num>
  <w:num w:numId="7">
    <w:abstractNumId w:val="3"/>
  </w:num>
  <w:num w:numId="8">
    <w:abstractNumId w:val="9"/>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170F49"/>
    <w:rsid w:val="00581308"/>
    <w:rsid w:val="005D2F0F"/>
    <w:rsid w:val="006838A0"/>
    <w:rsid w:val="00711B69"/>
    <w:rsid w:val="0085705C"/>
    <w:rsid w:val="008B153A"/>
    <w:rsid w:val="00D8350F"/>
    <w:rsid w:val="00DF05B4"/>
    <w:rsid w:val="00EF33D4"/>
    <w:rsid w:val="00F1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3181">
      <w:bodyDiv w:val="1"/>
      <w:marLeft w:val="0"/>
      <w:marRight w:val="0"/>
      <w:marTop w:val="0"/>
      <w:marBottom w:val="0"/>
      <w:divBdr>
        <w:top w:val="none" w:sz="0" w:space="0" w:color="auto"/>
        <w:left w:val="none" w:sz="0" w:space="0" w:color="auto"/>
        <w:bottom w:val="none" w:sz="0" w:space="0" w:color="auto"/>
        <w:right w:val="none" w:sz="0" w:space="0" w:color="auto"/>
      </w:divBdr>
    </w:div>
    <w:div w:id="464395041">
      <w:bodyDiv w:val="1"/>
      <w:marLeft w:val="0"/>
      <w:marRight w:val="0"/>
      <w:marTop w:val="0"/>
      <w:marBottom w:val="0"/>
      <w:divBdr>
        <w:top w:val="none" w:sz="0" w:space="0" w:color="auto"/>
        <w:left w:val="none" w:sz="0" w:space="0" w:color="auto"/>
        <w:bottom w:val="none" w:sz="0" w:space="0" w:color="auto"/>
        <w:right w:val="none" w:sz="0" w:space="0" w:color="auto"/>
      </w:divBdr>
    </w:div>
    <w:div w:id="1502966994">
      <w:bodyDiv w:val="1"/>
      <w:marLeft w:val="0"/>
      <w:marRight w:val="0"/>
      <w:marTop w:val="0"/>
      <w:marBottom w:val="0"/>
      <w:divBdr>
        <w:top w:val="none" w:sz="0" w:space="0" w:color="auto"/>
        <w:left w:val="none" w:sz="0" w:space="0" w:color="auto"/>
        <w:bottom w:val="none" w:sz="0" w:space="0" w:color="auto"/>
        <w:right w:val="none" w:sz="0" w:space="0" w:color="auto"/>
      </w:divBdr>
      <w:divsChild>
        <w:div w:id="1716585264">
          <w:marLeft w:val="0"/>
          <w:marRight w:val="0"/>
          <w:marTop w:val="0"/>
          <w:marBottom w:val="0"/>
          <w:divBdr>
            <w:top w:val="none" w:sz="0" w:space="0" w:color="auto"/>
            <w:left w:val="none" w:sz="0" w:space="0" w:color="auto"/>
            <w:bottom w:val="none" w:sz="0" w:space="0" w:color="auto"/>
            <w:right w:val="none" w:sz="0" w:space="0" w:color="auto"/>
          </w:divBdr>
        </w:div>
      </w:divsChild>
    </w:div>
    <w:div w:id="15714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24</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8</cp:revision>
  <dcterms:created xsi:type="dcterms:W3CDTF">2016-08-08T16:39:00Z</dcterms:created>
  <dcterms:modified xsi:type="dcterms:W3CDTF">2016-08-18T15:15:00Z</dcterms:modified>
</cp:coreProperties>
</file>